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70"/>
        <w:gridCol w:w="4961"/>
      </w:tblGrid>
      <w:tr w:rsidR="00D92A5C" w:rsidRPr="00E82082" w:rsidTr="006004FA">
        <w:trPr>
          <w:trHeight w:val="1070"/>
        </w:trPr>
        <w:tc>
          <w:tcPr>
            <w:tcW w:w="5070" w:type="dxa"/>
            <w:tcBorders>
              <w:top w:val="nil"/>
              <w:left w:val="nil"/>
              <w:bottom w:val="nil"/>
            </w:tcBorders>
          </w:tcPr>
          <w:p w:rsidR="00A672ED" w:rsidRPr="00E82082" w:rsidRDefault="00250067" w:rsidP="009724F0">
            <w:pPr>
              <w:spacing w:after="0" w:line="240" w:lineRule="auto"/>
              <w:jc w:val="left"/>
              <w:rPr>
                <w:color w:val="729BC8"/>
                <w:sz w:val="14"/>
                <w:szCs w:val="14"/>
              </w:rPr>
            </w:pPr>
          </w:p>
          <w:p w:rsidR="00A672ED" w:rsidRPr="00E82082" w:rsidRDefault="00250067" w:rsidP="009724F0">
            <w:pPr>
              <w:spacing w:after="0" w:line="240" w:lineRule="auto"/>
              <w:jc w:val="left"/>
              <w:rPr>
                <w:color w:val="262626"/>
                <w:szCs w:val="18"/>
              </w:rPr>
            </w:pPr>
          </w:p>
          <w:p w:rsidR="006D18CA" w:rsidRPr="00E82082" w:rsidRDefault="00250067" w:rsidP="009724F0">
            <w:pPr>
              <w:spacing w:after="0" w:line="240" w:lineRule="auto"/>
              <w:jc w:val="left"/>
            </w:pPr>
          </w:p>
        </w:tc>
        <w:tc>
          <w:tcPr>
            <w:tcW w:w="4961" w:type="dxa"/>
            <w:tcBorders>
              <w:top w:val="nil"/>
              <w:bottom w:val="nil"/>
              <w:right w:val="nil"/>
            </w:tcBorders>
          </w:tcPr>
          <w:p w:rsidR="006D18CA" w:rsidRPr="00E82082" w:rsidRDefault="00250067" w:rsidP="009724F0">
            <w:pPr>
              <w:spacing w:after="0" w:line="240" w:lineRule="auto"/>
              <w:ind w:left="34"/>
              <w:jc w:val="left"/>
              <w:rPr>
                <w:szCs w:val="18"/>
              </w:rPr>
            </w:pPr>
          </w:p>
        </w:tc>
      </w:tr>
    </w:tbl>
    <w:p w:rsidR="00950A8D" w:rsidRPr="00E82082" w:rsidRDefault="00E82082" w:rsidP="00950A8D">
      <w:pPr>
        <w:pStyle w:val="Titel"/>
        <w:spacing w:after="0"/>
        <w:rPr>
          <w:rFonts w:eastAsia="Times New Roman"/>
          <w:color w:val="262626"/>
          <w:spacing w:val="0"/>
          <w:kern w:val="0"/>
          <w:sz w:val="20"/>
          <w:szCs w:val="20"/>
        </w:rPr>
      </w:pPr>
      <w:r w:rsidRPr="00E82082">
        <w:rPr>
          <w:rFonts w:eastAsia="Verdana" w:cs="Verdana"/>
          <w:color w:val="262626"/>
          <w:spacing w:val="0"/>
          <w:kern w:val="0"/>
          <w:sz w:val="20"/>
          <w:szCs w:val="20"/>
          <w:bdr w:val="nil"/>
        </w:rPr>
        <w:t>Variations nationales de type II au module 3 : Clarification de la stratégie d'évaluation</w:t>
      </w:r>
    </w:p>
    <w:p w:rsidR="00950A8D" w:rsidRPr="00E82082" w:rsidRDefault="00E82082" w:rsidP="00950A8D">
      <w:pPr>
        <w:pStyle w:val="Titel"/>
        <w:spacing w:after="0"/>
        <w:rPr>
          <w:rFonts w:eastAsia="Times New Roman"/>
          <w:b w:val="0"/>
          <w:color w:val="262626"/>
          <w:spacing w:val="0"/>
          <w:kern w:val="0"/>
          <w:sz w:val="20"/>
          <w:szCs w:val="20"/>
        </w:rPr>
      </w:pPr>
      <w:r w:rsidRPr="00E82082">
        <w:rPr>
          <w:rFonts w:eastAsia="Verdana" w:cs="Verdana"/>
          <w:b w:val="0"/>
          <w:color w:val="262626"/>
          <w:spacing w:val="0"/>
          <w:kern w:val="0"/>
          <w:sz w:val="20"/>
          <w:szCs w:val="20"/>
          <w:bdr w:val="nil"/>
        </w:rPr>
        <w:t>Mars 2017</w:t>
      </w:r>
    </w:p>
    <w:p w:rsidR="006D18CA" w:rsidRPr="00E82082" w:rsidRDefault="00250067" w:rsidP="005F24D8">
      <w:pPr>
        <w:spacing w:after="0" w:line="240" w:lineRule="auto"/>
        <w:jc w:val="left"/>
        <w:rPr>
          <w:b/>
          <w:color w:val="auto"/>
        </w:rPr>
      </w:pPr>
    </w:p>
    <w:p w:rsidR="00950A8D" w:rsidRPr="00E82082" w:rsidRDefault="00E82082" w:rsidP="00950A8D">
      <w:pPr>
        <w:pStyle w:val="Lijstalinea"/>
        <w:numPr>
          <w:ilvl w:val="0"/>
          <w:numId w:val="4"/>
        </w:numPr>
        <w:spacing w:after="0" w:line="240" w:lineRule="auto"/>
        <w:jc w:val="left"/>
        <w:rPr>
          <w:color w:val="auto"/>
          <w:szCs w:val="18"/>
          <w:u w:val="single"/>
        </w:rPr>
      </w:pPr>
      <w:r w:rsidRPr="00E82082">
        <w:rPr>
          <w:rFonts w:eastAsia="Verdana" w:cs="Verdana"/>
          <w:b/>
          <w:color w:val="auto"/>
          <w:szCs w:val="18"/>
          <w:bdr w:val="nil"/>
        </w:rPr>
        <w:t>Introduction</w:t>
      </w:r>
    </w:p>
    <w:p w:rsidR="00950A8D" w:rsidRPr="00E82082" w:rsidRDefault="00250067" w:rsidP="00950A8D">
      <w:pPr>
        <w:spacing w:after="0" w:line="240" w:lineRule="auto"/>
        <w:jc w:val="left"/>
        <w:rPr>
          <w:color w:val="auto"/>
          <w:szCs w:val="18"/>
        </w:rPr>
      </w:pPr>
    </w:p>
    <w:p w:rsidR="00950A8D" w:rsidRPr="00E82082" w:rsidRDefault="00E82082" w:rsidP="00950A8D">
      <w:pPr>
        <w:spacing w:after="0" w:line="240" w:lineRule="auto"/>
        <w:jc w:val="left"/>
        <w:rPr>
          <w:color w:val="auto"/>
          <w:szCs w:val="18"/>
          <w:u w:val="single"/>
        </w:rPr>
      </w:pPr>
      <w:r w:rsidRPr="00E82082">
        <w:rPr>
          <w:rFonts w:eastAsia="Verdana" w:cs="Verdana"/>
          <w:color w:val="auto"/>
          <w:szCs w:val="18"/>
          <w:bdr w:val="nil"/>
        </w:rPr>
        <w:t>Les variations nationales de type II représentent une part</w:t>
      </w:r>
      <w:r w:rsidR="002917E8">
        <w:rPr>
          <w:rFonts w:eastAsia="Verdana" w:cs="Verdana"/>
          <w:color w:val="auto"/>
          <w:szCs w:val="18"/>
          <w:bdr w:val="nil"/>
        </w:rPr>
        <w:t>ie</w:t>
      </w:r>
      <w:r w:rsidRPr="00E82082">
        <w:rPr>
          <w:rFonts w:eastAsia="Verdana" w:cs="Verdana"/>
          <w:color w:val="auto"/>
          <w:szCs w:val="18"/>
          <w:bdr w:val="nil"/>
        </w:rPr>
        <w:t xml:space="preserve"> importante du temps d'évaluation des évaluateurs qualité. Ceci est dû aussi bien au nombre de demandes qu'à la durée d'évaluation attribuée à chaque demande. </w:t>
      </w:r>
    </w:p>
    <w:p w:rsidR="00950A8D" w:rsidRPr="00E82082" w:rsidRDefault="00250067" w:rsidP="00950A8D">
      <w:pPr>
        <w:spacing w:after="0" w:line="240" w:lineRule="auto"/>
        <w:jc w:val="left"/>
        <w:rPr>
          <w:color w:val="auto"/>
          <w:szCs w:val="18"/>
          <w:u w:val="single"/>
        </w:rPr>
      </w:pPr>
    </w:p>
    <w:p w:rsidR="00950A8D" w:rsidRPr="00E82082" w:rsidRDefault="00E82082" w:rsidP="00950A8D">
      <w:pPr>
        <w:spacing w:after="0" w:line="240" w:lineRule="auto"/>
        <w:jc w:val="left"/>
        <w:rPr>
          <w:color w:val="auto"/>
          <w:szCs w:val="18"/>
        </w:rPr>
      </w:pPr>
      <w:r w:rsidRPr="00E82082">
        <w:rPr>
          <w:rFonts w:eastAsia="Verdana" w:cs="Verdana"/>
          <w:color w:val="auto"/>
          <w:szCs w:val="18"/>
          <w:bdr w:val="nil"/>
        </w:rPr>
        <w:t>La durée totale d'évaluation de ces variations nationales de type II au module 3 a déjà été considérablement réduite par la transposition en droit national du système de classification du règlement européen CE/1234/2008 révisé.</w:t>
      </w:r>
    </w:p>
    <w:p w:rsidR="00325A3B" w:rsidRPr="00E82082" w:rsidRDefault="00250067" w:rsidP="00950A8D">
      <w:pPr>
        <w:spacing w:after="0" w:line="240" w:lineRule="auto"/>
        <w:jc w:val="left"/>
        <w:rPr>
          <w:color w:val="auto"/>
          <w:szCs w:val="18"/>
        </w:rPr>
      </w:pPr>
    </w:p>
    <w:p w:rsidR="00325A3B" w:rsidRPr="00E82082" w:rsidRDefault="00E82082" w:rsidP="00325A3B">
      <w:pPr>
        <w:jc w:val="left"/>
        <w:rPr>
          <w:color w:val="auto"/>
          <w:szCs w:val="18"/>
        </w:rPr>
      </w:pPr>
      <w:r w:rsidRPr="00E82082">
        <w:rPr>
          <w:rFonts w:eastAsia="Verdana" w:cs="Verdana"/>
          <w:color w:val="auto"/>
          <w:szCs w:val="18"/>
          <w:bdr w:val="nil"/>
        </w:rPr>
        <w:t xml:space="preserve">Il s'est également avéré que la procédure de worksharing, telle que décrite à l'article 20 du règlement CE/1234/2008, contribue à réduire la durée d'évaluation requise pour les variations nationales de type II. Cette procédure nécessite que la variation soit soumise simultanément aux autorités des différents États membres concernés. Une autorité de référence effectue l'évaluation et informe les autres autorités des résultats. </w:t>
      </w:r>
    </w:p>
    <w:p w:rsidR="00950A8D" w:rsidRPr="00E82082" w:rsidRDefault="00E82082" w:rsidP="00325A3B">
      <w:pPr>
        <w:jc w:val="left"/>
        <w:rPr>
          <w:color w:val="auto"/>
          <w:szCs w:val="18"/>
        </w:rPr>
      </w:pPr>
      <w:r w:rsidRPr="00E82082">
        <w:rPr>
          <w:rFonts w:eastAsia="Verdana" w:cs="Verdana"/>
          <w:color w:val="auto"/>
          <w:szCs w:val="18"/>
          <w:bdr w:val="nil"/>
        </w:rPr>
        <w:t>La stratégie décrite dans ce document et qui est appliquée par les évaluateurs qualité de l'AFMPS représente une contribution supplémentaire à l'effort de rationalisation. Son objectif est d'optimiser la procédure pour les variations de type II au module 3 pour lesquelles une évaluation nationale reste nécessaire.</w:t>
      </w:r>
    </w:p>
    <w:p w:rsidR="00325A3B" w:rsidRPr="00E82082" w:rsidRDefault="00E82082" w:rsidP="00325A3B">
      <w:pPr>
        <w:pStyle w:val="Lijstalinea"/>
        <w:numPr>
          <w:ilvl w:val="0"/>
          <w:numId w:val="4"/>
        </w:numPr>
        <w:spacing w:after="0" w:line="240" w:lineRule="auto"/>
        <w:jc w:val="left"/>
        <w:rPr>
          <w:b/>
          <w:color w:val="auto"/>
          <w:szCs w:val="18"/>
        </w:rPr>
      </w:pPr>
      <w:r w:rsidRPr="00E82082">
        <w:rPr>
          <w:rFonts w:eastAsia="Verdana" w:cs="Verdana"/>
          <w:b/>
          <w:color w:val="auto"/>
          <w:szCs w:val="18"/>
          <w:bdr w:val="nil"/>
        </w:rPr>
        <w:t>Clarification de la stratégie</w:t>
      </w:r>
    </w:p>
    <w:p w:rsidR="00325A3B" w:rsidRPr="00E82082" w:rsidRDefault="00250067" w:rsidP="00325A3B">
      <w:pPr>
        <w:spacing w:after="0" w:line="240" w:lineRule="auto"/>
        <w:jc w:val="left"/>
        <w:rPr>
          <w:color w:val="auto"/>
          <w:szCs w:val="18"/>
        </w:rPr>
      </w:pPr>
    </w:p>
    <w:p w:rsidR="008C6CA4" w:rsidRPr="00E82082" w:rsidRDefault="00E82082" w:rsidP="008C6CA4">
      <w:pPr>
        <w:spacing w:after="0" w:line="240" w:lineRule="auto"/>
        <w:jc w:val="left"/>
        <w:rPr>
          <w:b/>
          <w:color w:val="auto"/>
          <w:szCs w:val="18"/>
        </w:rPr>
      </w:pPr>
      <w:r w:rsidRPr="00E82082">
        <w:rPr>
          <w:rFonts w:eastAsia="Verdana" w:cs="Verdana"/>
          <w:color w:val="auto"/>
          <w:szCs w:val="18"/>
          <w:bdr w:val="nil"/>
        </w:rPr>
        <w:t>L'évaluation de la documentation présentée en soutien des variations analytiques de type II engendre souvent de nombreuses questions, dont certaines ne sont pas directement liées aux changements proposés dans la demande de variation. Cela peut retarder significativement l'approbation des variations. De plus, l'évaluation des réponses contribue de manière significative à la charge de travail des évaluateurs.</w:t>
      </w:r>
    </w:p>
    <w:p w:rsidR="008C6CA4" w:rsidRPr="00E82082" w:rsidRDefault="00250067" w:rsidP="008C6CA4">
      <w:pPr>
        <w:spacing w:after="0" w:line="240" w:lineRule="auto"/>
        <w:jc w:val="left"/>
        <w:rPr>
          <w:b/>
          <w:color w:val="auto"/>
          <w:szCs w:val="18"/>
        </w:rPr>
      </w:pPr>
    </w:p>
    <w:p w:rsidR="008C6CA4" w:rsidRPr="00E82082" w:rsidRDefault="00E82082" w:rsidP="008C6CA4">
      <w:pPr>
        <w:spacing w:after="0" w:line="240" w:lineRule="auto"/>
        <w:jc w:val="left"/>
        <w:rPr>
          <w:b/>
          <w:color w:val="auto"/>
          <w:szCs w:val="18"/>
        </w:rPr>
      </w:pPr>
      <w:r w:rsidRPr="00E82082">
        <w:rPr>
          <w:rFonts w:eastAsia="Verdana" w:cs="Verdana"/>
          <w:color w:val="auto"/>
          <w:szCs w:val="18"/>
          <w:bdr w:val="nil"/>
        </w:rPr>
        <w:t>Les questions qui ne sont pas liées aux changements proposés sont dues en partie à un manque de transparence dans le formulaire de demande quant au champ d'application de la variation ou aux changements proposés. D'autre part, les évaluateurs considèrent les procédures de variation de type II comme une opportunité d'émettre des recommandations sur la conformité du dossier qualité par rapport aux standards actuels.</w:t>
      </w:r>
    </w:p>
    <w:p w:rsidR="008C6CA4" w:rsidRPr="00E82082" w:rsidRDefault="00250067" w:rsidP="008C6CA4">
      <w:pPr>
        <w:spacing w:after="0" w:line="240" w:lineRule="auto"/>
        <w:jc w:val="left"/>
        <w:rPr>
          <w:b/>
          <w:color w:val="auto"/>
          <w:szCs w:val="18"/>
        </w:rPr>
      </w:pPr>
    </w:p>
    <w:p w:rsidR="00950A8D" w:rsidRPr="00E82082" w:rsidRDefault="00E82082" w:rsidP="008C6CA4">
      <w:pPr>
        <w:spacing w:after="0" w:line="240" w:lineRule="auto"/>
        <w:jc w:val="left"/>
        <w:rPr>
          <w:color w:val="auto"/>
          <w:szCs w:val="18"/>
        </w:rPr>
      </w:pPr>
      <w:r w:rsidRPr="00E82082">
        <w:rPr>
          <w:rFonts w:eastAsia="Verdana" w:cs="Verdana"/>
          <w:color w:val="auto"/>
          <w:szCs w:val="18"/>
          <w:bdr w:val="nil"/>
        </w:rPr>
        <w:t>Ce document propose une stratégie visant à éviter des retards dans l'approbation des variations en raison de questions non liées aux changements proposés, sans éliminer le rôle consultatif de l'évaluateur sur le statut général du dossier qualité. La mise en pratique de cette stratégie sera bénéfique tant pour l'industrie que l'AFMPS si les deux parties suivent les recommandations.</w:t>
      </w:r>
    </w:p>
    <w:p w:rsidR="008C6CA4" w:rsidRPr="00E82082" w:rsidRDefault="00250067" w:rsidP="008C6CA4">
      <w:pPr>
        <w:spacing w:after="0" w:line="240" w:lineRule="auto"/>
        <w:jc w:val="left"/>
        <w:rPr>
          <w:color w:val="auto"/>
          <w:szCs w:val="18"/>
        </w:rPr>
      </w:pPr>
    </w:p>
    <w:p w:rsidR="00950A8D" w:rsidRPr="00E82082" w:rsidRDefault="00E82082" w:rsidP="008C6CA4">
      <w:pPr>
        <w:jc w:val="left"/>
        <w:rPr>
          <w:color w:val="auto"/>
          <w:szCs w:val="18"/>
        </w:rPr>
      </w:pPr>
      <w:r w:rsidRPr="00E82082">
        <w:rPr>
          <w:rFonts w:eastAsia="Verdana" w:cs="Verdana"/>
          <w:color w:val="auto"/>
          <w:szCs w:val="18"/>
          <w:bdr w:val="nil"/>
        </w:rPr>
        <w:t>Une distinction est établie entre :</w:t>
      </w:r>
    </w:p>
    <w:p w:rsidR="008C6CA4" w:rsidRPr="00E82082" w:rsidRDefault="00E82082" w:rsidP="008C6CA4">
      <w:pPr>
        <w:pStyle w:val="Lijstalinea"/>
        <w:numPr>
          <w:ilvl w:val="0"/>
          <w:numId w:val="5"/>
        </w:numPr>
        <w:jc w:val="left"/>
        <w:rPr>
          <w:color w:val="auto"/>
          <w:szCs w:val="18"/>
        </w:rPr>
      </w:pPr>
      <w:r w:rsidRPr="00E82082">
        <w:rPr>
          <w:rFonts w:eastAsia="Verdana" w:cs="Verdana"/>
          <w:color w:val="auto"/>
          <w:szCs w:val="18"/>
          <w:bdr w:val="nil"/>
        </w:rPr>
        <w:t xml:space="preserve">les variations de type II avec un champ d'application spécifique et clairement défini, </w:t>
      </w:r>
    </w:p>
    <w:p w:rsidR="008C6CA4" w:rsidRPr="00E82082" w:rsidRDefault="00E82082" w:rsidP="008C6CA4">
      <w:pPr>
        <w:pStyle w:val="Lijstalinea"/>
        <w:numPr>
          <w:ilvl w:val="0"/>
          <w:numId w:val="5"/>
        </w:numPr>
        <w:ind w:left="539" w:hanging="539"/>
        <w:jc w:val="left"/>
        <w:rPr>
          <w:color w:val="auto"/>
          <w:szCs w:val="18"/>
        </w:rPr>
      </w:pPr>
      <w:r w:rsidRPr="00E82082">
        <w:rPr>
          <w:rFonts w:eastAsia="Verdana" w:cs="Verdana"/>
          <w:color w:val="auto"/>
          <w:szCs w:val="18"/>
          <w:bdr w:val="nil"/>
        </w:rPr>
        <w:t xml:space="preserve">les mises à jour globales du dossier qualité, et </w:t>
      </w:r>
    </w:p>
    <w:p w:rsidR="00950A8D" w:rsidRPr="00E82082" w:rsidRDefault="00E82082" w:rsidP="008C6CA4">
      <w:pPr>
        <w:pStyle w:val="Lijstalinea"/>
        <w:numPr>
          <w:ilvl w:val="0"/>
          <w:numId w:val="5"/>
        </w:numPr>
        <w:ind w:left="539" w:hanging="539"/>
        <w:jc w:val="left"/>
        <w:rPr>
          <w:color w:val="auto"/>
          <w:szCs w:val="18"/>
        </w:rPr>
      </w:pPr>
      <w:r w:rsidRPr="00E82082">
        <w:rPr>
          <w:rFonts w:eastAsia="Verdana" w:cs="Verdana"/>
          <w:color w:val="auto"/>
          <w:szCs w:val="18"/>
          <w:bdr w:val="nil"/>
        </w:rPr>
        <w:t>les modifications, du format de la partie II au format du module 3, sans changements au niveau du contenu.</w:t>
      </w:r>
    </w:p>
    <w:p w:rsidR="008C6CA4" w:rsidRPr="00E82082" w:rsidRDefault="00E82082" w:rsidP="002917E8">
      <w:pPr>
        <w:jc w:val="left"/>
        <w:rPr>
          <w:color w:val="auto"/>
          <w:szCs w:val="18"/>
        </w:rPr>
      </w:pPr>
      <w:r w:rsidRPr="00E82082">
        <w:rPr>
          <w:rFonts w:eastAsia="Verdana" w:cs="Verdana"/>
          <w:color w:val="auto"/>
          <w:szCs w:val="18"/>
          <w:bdr w:val="nil"/>
        </w:rPr>
        <w:t>Le formulaire de demande de variation doit être clair quant à la catégorie qui s'applique.</w:t>
      </w:r>
    </w:p>
    <w:p w:rsidR="00335443" w:rsidRPr="00E82082" w:rsidRDefault="00E82082" w:rsidP="00335443">
      <w:pPr>
        <w:numPr>
          <w:ilvl w:val="0"/>
          <w:numId w:val="2"/>
        </w:numPr>
        <w:spacing w:after="0" w:line="240" w:lineRule="auto"/>
        <w:jc w:val="left"/>
        <w:rPr>
          <w:b/>
          <w:color w:val="auto"/>
          <w:szCs w:val="18"/>
        </w:rPr>
      </w:pPr>
      <w:r w:rsidRPr="00E82082">
        <w:rPr>
          <w:rFonts w:eastAsia="Verdana" w:cs="Verdana"/>
          <w:b/>
          <w:color w:val="auto"/>
          <w:szCs w:val="18"/>
          <w:bdr w:val="nil"/>
        </w:rPr>
        <w:lastRenderedPageBreak/>
        <w:t>Variations de type II avec champ d'application spécifique</w:t>
      </w:r>
    </w:p>
    <w:p w:rsidR="00335443" w:rsidRPr="00E82082" w:rsidRDefault="00250067" w:rsidP="00335443">
      <w:pPr>
        <w:spacing w:after="0" w:line="240" w:lineRule="auto"/>
        <w:jc w:val="left"/>
        <w:rPr>
          <w:b/>
          <w:color w:val="auto"/>
          <w:szCs w:val="18"/>
        </w:rPr>
      </w:pPr>
    </w:p>
    <w:p w:rsidR="00335443" w:rsidRPr="00E82082" w:rsidRDefault="00E82082" w:rsidP="00335443">
      <w:pPr>
        <w:spacing w:after="0" w:line="240" w:lineRule="auto"/>
        <w:jc w:val="left"/>
        <w:rPr>
          <w:color w:val="auto"/>
          <w:szCs w:val="18"/>
        </w:rPr>
      </w:pPr>
      <w:r w:rsidRPr="00E82082">
        <w:rPr>
          <w:rFonts w:eastAsia="Verdana" w:cs="Verdana"/>
          <w:color w:val="auto"/>
          <w:szCs w:val="18"/>
          <w:bdr w:val="nil"/>
        </w:rPr>
        <w:t xml:space="preserve">Afin de permettre aux évaluateurs de cibler leur évaluation sur les changements, le </w:t>
      </w:r>
      <w:r w:rsidRPr="00E82082">
        <w:rPr>
          <w:rFonts w:eastAsia="Verdana" w:cs="Verdana"/>
          <w:b/>
          <w:color w:val="auto"/>
          <w:szCs w:val="18"/>
          <w:bdr w:val="nil"/>
        </w:rPr>
        <w:t>formulaire de demande</w:t>
      </w:r>
      <w:r w:rsidRPr="00E82082">
        <w:rPr>
          <w:rFonts w:eastAsia="Verdana" w:cs="Verdana"/>
          <w:color w:val="auto"/>
          <w:szCs w:val="18"/>
          <w:bdr w:val="nil"/>
        </w:rPr>
        <w:t xml:space="preserve"> pour la variation doit être totalement transparent quant au champ d'application de la variation, aux changements proposés et aux conséquences sur les documents d'appui. </w:t>
      </w:r>
    </w:p>
    <w:p w:rsidR="00335443" w:rsidRPr="00E82082" w:rsidRDefault="00250067" w:rsidP="00335443">
      <w:pPr>
        <w:spacing w:after="0" w:line="240" w:lineRule="auto"/>
        <w:jc w:val="left"/>
        <w:rPr>
          <w:color w:val="auto"/>
          <w:szCs w:val="18"/>
        </w:rPr>
      </w:pPr>
    </w:p>
    <w:p w:rsidR="007F50FE" w:rsidRPr="00E82082" w:rsidRDefault="00E82082" w:rsidP="007F50FE">
      <w:pPr>
        <w:spacing w:after="0" w:line="240" w:lineRule="auto"/>
        <w:jc w:val="left"/>
        <w:rPr>
          <w:color w:val="auto"/>
          <w:szCs w:val="18"/>
        </w:rPr>
      </w:pPr>
      <w:r w:rsidRPr="00E82082">
        <w:rPr>
          <w:rFonts w:eastAsia="Verdana" w:cs="Verdana"/>
          <w:color w:val="auto"/>
          <w:szCs w:val="18"/>
          <w:bdr w:val="nil"/>
        </w:rPr>
        <w:t xml:space="preserve">Une évaluation ciblée est possible uniquement lorsque les </w:t>
      </w:r>
      <w:r w:rsidRPr="00E82082">
        <w:rPr>
          <w:rFonts w:eastAsia="Verdana" w:cs="Verdana"/>
          <w:b/>
          <w:color w:val="auto"/>
          <w:szCs w:val="18"/>
          <w:bdr w:val="nil"/>
        </w:rPr>
        <w:t>changements proposés sont clairement liés au champ d'application</w:t>
      </w:r>
      <w:r w:rsidRPr="00E82082">
        <w:rPr>
          <w:rFonts w:eastAsia="Verdana" w:cs="Verdana"/>
          <w:color w:val="auto"/>
          <w:szCs w:val="18"/>
          <w:bdr w:val="nil"/>
        </w:rPr>
        <w:t xml:space="preserve"> de la variation. Par exemple, lorsque la variation implique d'introduire dans le module 3.2.P. une nouvelle méthode de test pour les impuretés, il est clair qu'il y aura des changements potentiels au niveau des spécifications, des méthodes analytiques, des rapports de validation de ces méthodes, de la discussion sur les impuretés et des rapports de stabilité.</w:t>
      </w:r>
    </w:p>
    <w:p w:rsidR="007F50FE" w:rsidRPr="00E82082" w:rsidRDefault="00250067" w:rsidP="007F50FE">
      <w:pPr>
        <w:spacing w:after="0" w:line="240" w:lineRule="auto"/>
        <w:jc w:val="left"/>
        <w:rPr>
          <w:color w:val="auto"/>
          <w:szCs w:val="18"/>
        </w:rPr>
      </w:pPr>
    </w:p>
    <w:p w:rsidR="007F50FE" w:rsidRPr="00E82082" w:rsidRDefault="00E82082" w:rsidP="007F50FE">
      <w:pPr>
        <w:spacing w:after="0" w:line="240" w:lineRule="auto"/>
        <w:jc w:val="left"/>
        <w:rPr>
          <w:color w:val="auto"/>
          <w:szCs w:val="18"/>
        </w:rPr>
      </w:pPr>
      <w:r w:rsidRPr="00E82082">
        <w:rPr>
          <w:rFonts w:eastAsia="Verdana" w:cs="Verdana"/>
          <w:color w:val="auto"/>
          <w:szCs w:val="18"/>
          <w:bdr w:val="nil"/>
        </w:rPr>
        <w:t xml:space="preserve">Toutefois, il n'est pas considéré comme approprié d'introduire une liste de changements qui ne sont pas liés entre eux dans une seule demande de variation de type II. Dans ce cas, une combinaison de différentes variations de type I et/ou type II doit être introduite (chacune avec un champ d'application clair et la liste des changements). Le cas échéant, les modifications peuvent être groupées comme prévu à l'Article 7 du règlement n° 1234/2008 de la Commission. </w:t>
      </w:r>
    </w:p>
    <w:p w:rsidR="007F50FE" w:rsidRPr="00E82082" w:rsidRDefault="00250067" w:rsidP="007F50FE">
      <w:pPr>
        <w:spacing w:after="0" w:line="240" w:lineRule="auto"/>
        <w:jc w:val="left"/>
        <w:rPr>
          <w:color w:val="auto"/>
          <w:szCs w:val="18"/>
        </w:rPr>
      </w:pPr>
    </w:p>
    <w:p w:rsidR="007F50FE" w:rsidRPr="00E82082" w:rsidRDefault="00E82082" w:rsidP="007F50FE">
      <w:pPr>
        <w:spacing w:after="0" w:line="240" w:lineRule="auto"/>
        <w:jc w:val="left"/>
        <w:rPr>
          <w:color w:val="auto"/>
          <w:szCs w:val="18"/>
        </w:rPr>
      </w:pPr>
      <w:r w:rsidRPr="00E82082">
        <w:rPr>
          <w:rFonts w:eastAsia="Verdana" w:cs="Verdana"/>
          <w:color w:val="auto"/>
          <w:szCs w:val="18"/>
          <w:bdr w:val="nil"/>
        </w:rPr>
        <w:t xml:space="preserve">Lorsque la comparaison entre la situation actuelle et celle proposée devient trop complexe, une demande de mise à jour globale du module 3 peut être envisagée (voir point b). </w:t>
      </w:r>
    </w:p>
    <w:p w:rsidR="007F50FE" w:rsidRPr="00E82082" w:rsidRDefault="00250067" w:rsidP="007F50FE">
      <w:pPr>
        <w:spacing w:after="0" w:line="240" w:lineRule="auto"/>
        <w:jc w:val="left"/>
        <w:rPr>
          <w:color w:val="auto"/>
          <w:szCs w:val="18"/>
        </w:rPr>
      </w:pPr>
    </w:p>
    <w:p w:rsidR="00950A8D" w:rsidRPr="00E82082" w:rsidRDefault="00E82082" w:rsidP="007F50FE">
      <w:pPr>
        <w:spacing w:after="0" w:line="240" w:lineRule="auto"/>
        <w:jc w:val="left"/>
        <w:rPr>
          <w:color w:val="auto"/>
          <w:szCs w:val="18"/>
        </w:rPr>
      </w:pPr>
      <w:r w:rsidRPr="00E82082">
        <w:rPr>
          <w:rFonts w:eastAsia="Verdana" w:cs="Verdana"/>
          <w:color w:val="auto"/>
          <w:szCs w:val="18"/>
          <w:bdr w:val="nil"/>
        </w:rPr>
        <w:t xml:space="preserve">La </w:t>
      </w:r>
      <w:r w:rsidRPr="00E82082">
        <w:rPr>
          <w:rFonts w:eastAsia="Verdana" w:cs="Verdana"/>
          <w:b/>
          <w:color w:val="auto"/>
          <w:szCs w:val="18"/>
          <w:bdr w:val="nil"/>
        </w:rPr>
        <w:t>documentation d'appui</w:t>
      </w:r>
      <w:r w:rsidRPr="00E82082">
        <w:rPr>
          <w:rFonts w:eastAsia="Verdana" w:cs="Verdana"/>
          <w:color w:val="auto"/>
          <w:szCs w:val="18"/>
          <w:bdr w:val="nil"/>
        </w:rPr>
        <w:t xml:space="preserve"> doit contenir uniquement les versions adaptées de toutes les parties du module 3 qui sont affectées par les changements proposés. La présentation d'une version annotée et d'une version propre dans laquelle les changements apportés à chaque section peuvent être identifiés immédiatement facilite le traitement efficace du dossier. Des parties supplémentaires du module 3 ou un module 3 complet peuvent également être compris dans la documentation d'appui, par exemple lorsque le demandeur profite d'une variation de type II pour modifier le format du dossier de qualité, du format NTA (partie II) au format CTD (module 3). Cependant, dans ce cas, le formulaire doit indiquer clairement qu'</w:t>
      </w:r>
      <w:r w:rsidRPr="00E82082">
        <w:rPr>
          <w:rFonts w:eastAsia="Verdana" w:cs="Verdana"/>
          <w:b/>
          <w:color w:val="auto"/>
          <w:szCs w:val="18"/>
          <w:bdr w:val="nil"/>
        </w:rPr>
        <w:t xml:space="preserve">aucun changement </w:t>
      </w:r>
      <w:r w:rsidRPr="00E82082">
        <w:rPr>
          <w:rFonts w:eastAsia="Verdana" w:cs="Verdana"/>
          <w:color w:val="auto"/>
          <w:szCs w:val="18"/>
          <w:bdr w:val="nil"/>
        </w:rPr>
        <w:t xml:space="preserve">du contenu </w:t>
      </w:r>
      <w:r w:rsidRPr="00E82082">
        <w:rPr>
          <w:rFonts w:eastAsia="Verdana" w:cs="Verdana"/>
          <w:b/>
          <w:color w:val="auto"/>
          <w:szCs w:val="18"/>
          <w:bdr w:val="nil"/>
        </w:rPr>
        <w:t>autre</w:t>
      </w:r>
      <w:r w:rsidRPr="00E82082">
        <w:rPr>
          <w:rFonts w:eastAsia="Verdana" w:cs="Verdana"/>
          <w:color w:val="auto"/>
          <w:szCs w:val="18"/>
          <w:bdr w:val="nil"/>
        </w:rPr>
        <w:t xml:space="preserve"> que ceux déjà décrits dans le formulaire de demande n'a été introduit. </w:t>
      </w:r>
    </w:p>
    <w:p w:rsidR="0088412C" w:rsidRPr="00E82082" w:rsidRDefault="00250067" w:rsidP="0088412C">
      <w:pPr>
        <w:tabs>
          <w:tab w:val="left" w:pos="540"/>
        </w:tabs>
        <w:jc w:val="left"/>
        <w:rPr>
          <w:b/>
          <w:i/>
          <w:color w:val="auto"/>
          <w:szCs w:val="18"/>
          <w:bdr w:val="single" w:sz="4" w:space="0" w:color="auto"/>
        </w:rPr>
      </w:pPr>
    </w:p>
    <w:p w:rsidR="00950A8D" w:rsidRPr="00E82082" w:rsidRDefault="00E82082" w:rsidP="0088412C">
      <w:pPr>
        <w:tabs>
          <w:tab w:val="left" w:pos="540"/>
        </w:tabs>
        <w:jc w:val="left"/>
        <w:rPr>
          <w:b/>
          <w:color w:val="auto"/>
          <w:szCs w:val="18"/>
        </w:rPr>
      </w:pPr>
      <w:r w:rsidRPr="00E82082">
        <w:rPr>
          <w:rFonts w:eastAsia="Verdana" w:cs="Verdana"/>
          <w:b/>
          <w:color w:val="auto"/>
          <w:szCs w:val="18"/>
          <w:bdr w:val="single" w:sz="4" w:space="0" w:color="auto"/>
        </w:rPr>
        <w:t>Validation à l'AFMPS :</w:t>
      </w:r>
    </w:p>
    <w:p w:rsidR="00950A8D" w:rsidRPr="00E82082" w:rsidRDefault="00E82082" w:rsidP="0088412C">
      <w:pPr>
        <w:tabs>
          <w:tab w:val="left" w:pos="540"/>
        </w:tabs>
        <w:jc w:val="left"/>
        <w:rPr>
          <w:b/>
          <w:color w:val="auto"/>
          <w:szCs w:val="18"/>
        </w:rPr>
      </w:pPr>
      <w:r w:rsidRPr="00E82082">
        <w:rPr>
          <w:rFonts w:eastAsia="Verdana" w:cs="Verdana"/>
          <w:color w:val="auto"/>
          <w:szCs w:val="18"/>
          <w:bdr w:val="nil"/>
        </w:rPr>
        <w:t>Lorsque le formulaire de demande d'une variation de type II n'est pas suffisamment clair quant au champ d'application, aux changements proposés et aux parties dont le contenu est affecté, la demande sera considérée comme invalide (à la division POST marketing authorisation, après upload du dossier).</w:t>
      </w:r>
    </w:p>
    <w:p w:rsidR="00950A8D" w:rsidRPr="00E82082" w:rsidRDefault="00E82082" w:rsidP="0088412C">
      <w:pPr>
        <w:tabs>
          <w:tab w:val="left" w:pos="540"/>
        </w:tabs>
        <w:jc w:val="left"/>
        <w:rPr>
          <w:color w:val="auto"/>
          <w:szCs w:val="18"/>
        </w:rPr>
      </w:pPr>
      <w:r w:rsidRPr="00E82082">
        <w:rPr>
          <w:rFonts w:eastAsia="Verdana" w:cs="Verdana"/>
          <w:color w:val="auto"/>
          <w:szCs w:val="18"/>
          <w:bdr w:val="nil"/>
        </w:rPr>
        <w:t>Il est alors demandé au demandeur de présenter, dans les 15 jours ouvrables (tel que prévu à l'art. 10 de l'AR du 14.12.2006) :</w:t>
      </w:r>
    </w:p>
    <w:p w:rsidR="00950A8D" w:rsidRPr="00E82082" w:rsidRDefault="00E82082" w:rsidP="00950A8D">
      <w:pPr>
        <w:tabs>
          <w:tab w:val="left" w:pos="1080"/>
        </w:tabs>
        <w:ind w:left="1080" w:hanging="360"/>
        <w:jc w:val="left"/>
        <w:rPr>
          <w:color w:val="auto"/>
          <w:szCs w:val="18"/>
        </w:rPr>
      </w:pPr>
      <w:r w:rsidRPr="00E82082">
        <w:rPr>
          <w:rFonts w:eastAsia="Verdana" w:cs="Verdana"/>
          <w:color w:val="auto"/>
          <w:szCs w:val="18"/>
          <w:bdr w:val="nil"/>
        </w:rPr>
        <w:t xml:space="preserve">a) </w:t>
      </w:r>
      <w:r w:rsidRPr="00E82082">
        <w:rPr>
          <w:rFonts w:eastAsia="Verdana" w:cs="Verdana"/>
          <w:color w:val="auto"/>
          <w:szCs w:val="18"/>
          <w:bdr w:val="nil"/>
        </w:rPr>
        <w:tab/>
        <w:t>un formulaire de demande approprié pour une variation de type II, ou</w:t>
      </w:r>
    </w:p>
    <w:p w:rsidR="00950A8D" w:rsidRPr="00E82082" w:rsidRDefault="00E82082" w:rsidP="00950A8D">
      <w:pPr>
        <w:tabs>
          <w:tab w:val="left" w:pos="1080"/>
        </w:tabs>
        <w:ind w:left="1080" w:hanging="360"/>
        <w:jc w:val="left"/>
        <w:rPr>
          <w:color w:val="auto"/>
          <w:szCs w:val="18"/>
        </w:rPr>
      </w:pPr>
      <w:r w:rsidRPr="00E82082">
        <w:rPr>
          <w:rFonts w:eastAsia="Verdana" w:cs="Verdana"/>
          <w:color w:val="auto"/>
          <w:szCs w:val="18"/>
          <w:bdr w:val="nil"/>
        </w:rPr>
        <w:t xml:space="preserve">b) </w:t>
      </w:r>
      <w:r w:rsidRPr="00E82082">
        <w:rPr>
          <w:rFonts w:eastAsia="Verdana" w:cs="Verdana"/>
          <w:color w:val="auto"/>
          <w:szCs w:val="18"/>
          <w:bdr w:val="nil"/>
        </w:rPr>
        <w:tab/>
        <w:t xml:space="preserve">une demande pour une mise à jour globale du module 3 (voir point b) ainsi qu'un formulaire de paiement amendé, correspondant à une mise à jour générale du module 3 (voir site web de l'AFMPS pour mise à jour de la redevance du module 3). </w:t>
      </w:r>
    </w:p>
    <w:p w:rsidR="00950A8D" w:rsidRPr="00E82082" w:rsidRDefault="00E82082" w:rsidP="0088412C">
      <w:pPr>
        <w:jc w:val="left"/>
        <w:rPr>
          <w:b/>
          <w:i/>
          <w:color w:val="auto"/>
          <w:szCs w:val="18"/>
        </w:rPr>
      </w:pPr>
      <w:r w:rsidRPr="00E82082">
        <w:rPr>
          <w:rFonts w:eastAsia="Verdana" w:cs="Verdana"/>
          <w:b/>
          <w:color w:val="auto"/>
          <w:szCs w:val="18"/>
          <w:bdr w:val="single" w:sz="4" w:space="0" w:color="auto"/>
        </w:rPr>
        <w:t>Evaluation de la qualité à l'AFMPS :</w:t>
      </w:r>
    </w:p>
    <w:p w:rsidR="00950A8D" w:rsidRPr="00E82082" w:rsidRDefault="00E82082" w:rsidP="0088412C">
      <w:pPr>
        <w:jc w:val="left"/>
        <w:rPr>
          <w:color w:val="auto"/>
          <w:szCs w:val="18"/>
        </w:rPr>
      </w:pPr>
      <w:r w:rsidRPr="00E82082">
        <w:rPr>
          <w:rFonts w:eastAsia="Verdana" w:cs="Verdana"/>
          <w:color w:val="auto"/>
          <w:szCs w:val="18"/>
          <w:bdr w:val="nil"/>
        </w:rPr>
        <w:t xml:space="preserve">Lorsque le formulaire de demande et la documentation d'appui sont conformes à ce qui est décrit ci-dessus, </w:t>
      </w:r>
      <w:r w:rsidRPr="00E82082">
        <w:rPr>
          <w:rFonts w:eastAsia="Verdana" w:cs="Verdana"/>
          <w:b/>
          <w:color w:val="auto"/>
          <w:szCs w:val="18"/>
          <w:bdr w:val="nil"/>
        </w:rPr>
        <w:t>l’évaluation se concentrera sur les changements proposés</w:t>
      </w:r>
      <w:r w:rsidRPr="00E82082">
        <w:rPr>
          <w:rFonts w:eastAsia="Verdana" w:cs="Verdana"/>
          <w:color w:val="auto"/>
          <w:szCs w:val="18"/>
          <w:bdr w:val="nil"/>
        </w:rPr>
        <w:t xml:space="preserve">. Les questions (pour lesquelles une réponse est requise durant la procédure) porteront uniquement sur des sujets liés aux changements proposés. </w:t>
      </w:r>
    </w:p>
    <w:p w:rsidR="0088412C" w:rsidRPr="00E82082" w:rsidRDefault="00E82082" w:rsidP="0088412C">
      <w:pPr>
        <w:jc w:val="left"/>
        <w:rPr>
          <w:color w:val="auto"/>
          <w:szCs w:val="18"/>
        </w:rPr>
      </w:pPr>
      <w:r w:rsidRPr="00E82082">
        <w:rPr>
          <w:rFonts w:eastAsia="Verdana" w:cs="Verdana"/>
          <w:color w:val="auto"/>
          <w:szCs w:val="18"/>
          <w:bdr w:val="nil"/>
        </w:rPr>
        <w:t>Bien que le but ne soit pas de réaliser une évaluation complète des documents d'appui qui ne sont pas directement liés aux changements proposés, d'autres préoccupations peuvent apparaître lors de l’évaluation. Les inquiétudes de l'évaluateur</w:t>
      </w:r>
      <w:r w:rsidRPr="00E82082">
        <w:rPr>
          <w:rFonts w:eastAsia="Verdana" w:cs="Verdana"/>
          <w:b/>
          <w:color w:val="auto"/>
          <w:szCs w:val="18"/>
          <w:bdr w:val="nil"/>
        </w:rPr>
        <w:t xml:space="preserve"> qui ne sont pas directement liées aux changements proposés</w:t>
      </w:r>
      <w:r w:rsidRPr="00E82082">
        <w:rPr>
          <w:rFonts w:eastAsia="Verdana" w:cs="Verdana"/>
          <w:color w:val="auto"/>
          <w:szCs w:val="18"/>
          <w:bdr w:val="nil"/>
        </w:rPr>
        <w:t xml:space="preserve"> seront reprises dans une liste séparée qui doit être </w:t>
      </w:r>
      <w:r w:rsidRPr="00E82082">
        <w:rPr>
          <w:rFonts w:eastAsia="Verdana" w:cs="Verdana"/>
          <w:b/>
          <w:color w:val="auto"/>
          <w:szCs w:val="18"/>
          <w:bdr w:val="nil"/>
        </w:rPr>
        <w:t>considérée comme une recommandation</w:t>
      </w:r>
      <w:r w:rsidRPr="00E82082">
        <w:rPr>
          <w:rFonts w:eastAsia="Verdana" w:cs="Verdana"/>
          <w:color w:val="auto"/>
          <w:szCs w:val="18"/>
          <w:bdr w:val="nil"/>
        </w:rPr>
        <w:t xml:space="preserve"> pour le demandeur. Ces questions ne doivent pas être résolues pendant la procédure de variation. C’est au demandeur que revient la responsabilité d’examiner comment ces recommandations peuvent être utilisées dans le programme de maintenance du module 3 (autocontrôle). </w:t>
      </w:r>
      <w:r w:rsidRPr="00E82082">
        <w:rPr>
          <w:rFonts w:eastAsia="Verdana" w:cs="Verdana"/>
          <w:color w:val="auto"/>
          <w:szCs w:val="18"/>
          <w:bdr w:val="nil"/>
        </w:rPr>
        <w:lastRenderedPageBreak/>
        <w:t xml:space="preserve">Cela donne de la flexibilité au demandeur, par exemple pour combiner ces recommandations avec des demandes provenant d’autres États membres dans lesquels le produit est commercialisé. Si le demandeur introduit des demandes de variation ultérieures en tenant compte d'une ou de plusieurs recommandations, il lui est demandé de faire clairement référence à la demande de variation durant laquelle ces recommandations ont été émises. </w:t>
      </w:r>
      <w:bookmarkStart w:id="0" w:name="_GoBack"/>
      <w:bookmarkEnd w:id="0"/>
    </w:p>
    <w:p w:rsidR="0088412C" w:rsidRPr="00E82082" w:rsidRDefault="00E82082" w:rsidP="0088412C">
      <w:pPr>
        <w:jc w:val="left"/>
        <w:rPr>
          <w:color w:val="auto"/>
          <w:szCs w:val="18"/>
        </w:rPr>
      </w:pPr>
      <w:r w:rsidRPr="00E82082">
        <w:rPr>
          <w:rFonts w:eastAsia="Verdana" w:cs="Verdana"/>
          <w:color w:val="auto"/>
          <w:szCs w:val="18"/>
          <w:bdr w:val="nil"/>
        </w:rPr>
        <w:t xml:space="preserve">Lors de l'évaluation de variations ou mises à jour ultérieures, l'évaluateur de l'AFMPS peut demander un feedback sur le suivi qui a été donné à ces recommandations. Cependant, le but n'est pas que l'AFMPS organise un suivi systématique de ces recommandations. Ceci est considéré comme relevant de la responsabilité du titulaire de l'AMM (autocontrôle). </w:t>
      </w:r>
    </w:p>
    <w:p w:rsidR="00950A8D" w:rsidRPr="00E82082" w:rsidRDefault="00E82082" w:rsidP="00950A8D">
      <w:pPr>
        <w:jc w:val="left"/>
        <w:rPr>
          <w:color w:val="auto"/>
          <w:szCs w:val="18"/>
        </w:rPr>
      </w:pPr>
      <w:r w:rsidRPr="00E82082">
        <w:rPr>
          <w:rFonts w:eastAsia="Verdana" w:cs="Verdana"/>
          <w:color w:val="auto"/>
          <w:szCs w:val="18"/>
          <w:bdr w:val="nil"/>
        </w:rPr>
        <w:t>Dans des cas exceptionnels et lorsqu’il y a un risque grave potentiel pour la santé publique, l’AFMPS peut demander que des questions qui ne sont pas forcément liées aux changements proposés soient résolues durant la procédure ou qu’un engagement clair soit donné durant la procédure.</w:t>
      </w:r>
    </w:p>
    <w:p w:rsidR="0088412C" w:rsidRPr="00E82082" w:rsidRDefault="00E82082" w:rsidP="0088412C">
      <w:pPr>
        <w:numPr>
          <w:ilvl w:val="0"/>
          <w:numId w:val="2"/>
        </w:numPr>
        <w:spacing w:after="0" w:line="240" w:lineRule="auto"/>
        <w:jc w:val="left"/>
        <w:rPr>
          <w:b/>
          <w:color w:val="auto"/>
          <w:szCs w:val="18"/>
        </w:rPr>
      </w:pPr>
      <w:r w:rsidRPr="00E82082">
        <w:rPr>
          <w:rFonts w:eastAsia="Verdana" w:cs="Verdana"/>
          <w:b/>
          <w:color w:val="auto"/>
          <w:szCs w:val="18"/>
          <w:bdr w:val="nil"/>
        </w:rPr>
        <w:t>Mise à jour globale du module 3</w:t>
      </w:r>
    </w:p>
    <w:p w:rsidR="0088412C" w:rsidRPr="00E82082" w:rsidRDefault="00250067" w:rsidP="0088412C">
      <w:pPr>
        <w:spacing w:after="0" w:line="240" w:lineRule="auto"/>
        <w:jc w:val="left"/>
        <w:rPr>
          <w:b/>
          <w:color w:val="auto"/>
          <w:szCs w:val="18"/>
        </w:rPr>
      </w:pPr>
    </w:p>
    <w:p w:rsidR="0088412C" w:rsidRPr="00E82082" w:rsidRDefault="00E82082" w:rsidP="0088412C">
      <w:pPr>
        <w:spacing w:after="0" w:line="240" w:lineRule="auto"/>
        <w:jc w:val="left"/>
        <w:rPr>
          <w:color w:val="auto"/>
          <w:szCs w:val="18"/>
        </w:rPr>
      </w:pPr>
      <w:r w:rsidRPr="00E82082">
        <w:rPr>
          <w:rFonts w:eastAsia="Verdana" w:cs="Verdana"/>
          <w:color w:val="auto"/>
          <w:szCs w:val="18"/>
          <w:bdr w:val="nil"/>
        </w:rPr>
        <w:t>Lorsque des changements sont introduits dans l'ensemble du module 3 ou lorsqu'une comparaison entre la situation actuelle et celle qui e</w:t>
      </w:r>
      <w:r>
        <w:rPr>
          <w:rFonts w:eastAsia="Verdana" w:cs="Verdana"/>
          <w:color w:val="auto"/>
          <w:szCs w:val="18"/>
          <w:bdr w:val="nil"/>
        </w:rPr>
        <w:t>st proposée devient trop comple</w:t>
      </w:r>
      <w:r w:rsidRPr="00E82082">
        <w:rPr>
          <w:rFonts w:eastAsia="Verdana" w:cs="Verdana"/>
          <w:color w:val="auto"/>
          <w:szCs w:val="18"/>
          <w:bdr w:val="nil"/>
        </w:rPr>
        <w:t>xe, une mise à jour globale du module 3 peut être introduite.</w:t>
      </w:r>
    </w:p>
    <w:p w:rsidR="0088412C" w:rsidRPr="00E82082" w:rsidRDefault="00250067" w:rsidP="0088412C">
      <w:pPr>
        <w:spacing w:after="0" w:line="240" w:lineRule="auto"/>
        <w:jc w:val="left"/>
        <w:rPr>
          <w:color w:val="auto"/>
          <w:szCs w:val="18"/>
        </w:rPr>
      </w:pPr>
    </w:p>
    <w:p w:rsidR="0007116A" w:rsidRPr="00E82082" w:rsidRDefault="00E82082" w:rsidP="0007116A">
      <w:pPr>
        <w:spacing w:after="0" w:line="240" w:lineRule="auto"/>
        <w:jc w:val="left"/>
        <w:rPr>
          <w:color w:val="auto"/>
          <w:szCs w:val="18"/>
        </w:rPr>
      </w:pPr>
      <w:r w:rsidRPr="00E82082">
        <w:rPr>
          <w:rFonts w:eastAsia="Verdana" w:cs="Verdana"/>
          <w:color w:val="auto"/>
          <w:szCs w:val="18"/>
          <w:bdr w:val="nil"/>
        </w:rPr>
        <w:t>Les mises à jour du module 3 dans le cadre de la procédure de révision-validation sont également considérées comme des mises à jour globales du module 3.</w:t>
      </w:r>
    </w:p>
    <w:p w:rsidR="0007116A" w:rsidRPr="00E82082" w:rsidRDefault="00250067" w:rsidP="0007116A">
      <w:pPr>
        <w:spacing w:after="0" w:line="240" w:lineRule="auto"/>
        <w:jc w:val="left"/>
        <w:rPr>
          <w:color w:val="auto"/>
          <w:szCs w:val="18"/>
        </w:rPr>
      </w:pPr>
    </w:p>
    <w:p w:rsidR="00950A8D" w:rsidRPr="00E82082" w:rsidRDefault="00E82082" w:rsidP="0007116A">
      <w:pPr>
        <w:spacing w:after="0" w:line="240" w:lineRule="auto"/>
        <w:jc w:val="left"/>
        <w:rPr>
          <w:b/>
          <w:color w:val="auto"/>
          <w:szCs w:val="18"/>
          <w:bdr w:val="single" w:sz="4" w:space="0" w:color="auto"/>
        </w:rPr>
      </w:pPr>
      <w:r w:rsidRPr="00E82082">
        <w:rPr>
          <w:rFonts w:eastAsia="Verdana" w:cs="Verdana"/>
          <w:b/>
          <w:color w:val="auto"/>
          <w:szCs w:val="18"/>
          <w:bdr w:val="single" w:sz="4" w:space="0" w:color="auto"/>
        </w:rPr>
        <w:t>Validation à l'AFMPS :</w:t>
      </w:r>
    </w:p>
    <w:p w:rsidR="0007116A" w:rsidRPr="00E82082" w:rsidRDefault="00250067" w:rsidP="0007116A">
      <w:pPr>
        <w:spacing w:after="0" w:line="240" w:lineRule="auto"/>
        <w:jc w:val="left"/>
        <w:rPr>
          <w:b/>
          <w:color w:val="auto"/>
          <w:szCs w:val="18"/>
        </w:rPr>
      </w:pPr>
    </w:p>
    <w:p w:rsidR="0007116A" w:rsidRPr="00E82082" w:rsidRDefault="00E82082" w:rsidP="0007116A">
      <w:pPr>
        <w:jc w:val="left"/>
        <w:rPr>
          <w:color w:val="auto"/>
          <w:szCs w:val="18"/>
        </w:rPr>
      </w:pPr>
      <w:r w:rsidRPr="00E82082">
        <w:rPr>
          <w:rFonts w:eastAsia="Verdana" w:cs="Verdana"/>
          <w:color w:val="auto"/>
          <w:szCs w:val="18"/>
          <w:bdr w:val="nil"/>
        </w:rPr>
        <w:t>Dans la part</w:t>
      </w:r>
      <w:r>
        <w:rPr>
          <w:rFonts w:eastAsia="Verdana" w:cs="Verdana"/>
          <w:color w:val="auto"/>
          <w:szCs w:val="18"/>
          <w:bdr w:val="nil"/>
        </w:rPr>
        <w:t>ie du formulaire qui décrit le « </w:t>
      </w:r>
      <w:r w:rsidRPr="00E82082">
        <w:rPr>
          <w:rFonts w:eastAsia="Verdana" w:cs="Verdana"/>
          <w:color w:val="auto"/>
          <w:szCs w:val="18"/>
          <w:bdr w:val="nil"/>
        </w:rPr>
        <w:t xml:space="preserve">champ </w:t>
      </w:r>
      <w:r>
        <w:rPr>
          <w:rFonts w:eastAsia="Verdana" w:cs="Verdana"/>
          <w:color w:val="auto"/>
          <w:szCs w:val="18"/>
          <w:bdr w:val="nil"/>
        </w:rPr>
        <w:t>d'application »</w:t>
      </w:r>
      <w:r w:rsidRPr="00E82082">
        <w:rPr>
          <w:rFonts w:eastAsia="Verdana" w:cs="Verdana"/>
          <w:color w:val="auto"/>
          <w:szCs w:val="18"/>
          <w:bdr w:val="nil"/>
        </w:rPr>
        <w:t>, il doit être indiqué clairement qu'une mise à jour globale du module 3 est proposée.</w:t>
      </w:r>
    </w:p>
    <w:p w:rsidR="00950A8D" w:rsidRPr="00E82082" w:rsidRDefault="00E82082" w:rsidP="0007116A">
      <w:pPr>
        <w:jc w:val="left"/>
        <w:rPr>
          <w:color w:val="auto"/>
          <w:szCs w:val="18"/>
        </w:rPr>
      </w:pPr>
      <w:r w:rsidRPr="00E82082">
        <w:rPr>
          <w:rFonts w:eastAsia="Verdana" w:cs="Verdana"/>
          <w:b/>
          <w:color w:val="auto"/>
          <w:szCs w:val="18"/>
          <w:bdr w:val="single" w:sz="4" w:space="0" w:color="auto"/>
        </w:rPr>
        <w:t>Evaluation de la qualité à l'AFMPS :</w:t>
      </w:r>
    </w:p>
    <w:p w:rsidR="00950A8D" w:rsidRPr="00E82082" w:rsidRDefault="00E82082" w:rsidP="0007116A">
      <w:pPr>
        <w:jc w:val="left"/>
        <w:rPr>
          <w:color w:val="auto"/>
          <w:szCs w:val="18"/>
        </w:rPr>
      </w:pPr>
      <w:r w:rsidRPr="00E82082">
        <w:rPr>
          <w:rFonts w:eastAsia="Verdana" w:cs="Verdana"/>
          <w:color w:val="auto"/>
          <w:szCs w:val="18"/>
          <w:bdr w:val="nil"/>
        </w:rPr>
        <w:t xml:space="preserve">Dans ce cas, le dossier sera </w:t>
      </w:r>
      <w:r w:rsidRPr="00E82082">
        <w:rPr>
          <w:rFonts w:eastAsia="Verdana" w:cs="Verdana"/>
          <w:b/>
          <w:color w:val="auto"/>
          <w:szCs w:val="18"/>
          <w:bdr w:val="nil"/>
        </w:rPr>
        <w:t>entièrement évalué. Les questions</w:t>
      </w:r>
      <w:r w:rsidRPr="00E82082">
        <w:rPr>
          <w:rFonts w:eastAsia="Verdana" w:cs="Verdana"/>
          <w:color w:val="auto"/>
          <w:szCs w:val="18"/>
          <w:bdr w:val="nil"/>
        </w:rPr>
        <w:t xml:space="preserve"> soulevées devront être </w:t>
      </w:r>
      <w:r w:rsidRPr="00E82082">
        <w:rPr>
          <w:rFonts w:eastAsia="Verdana" w:cs="Verdana"/>
          <w:b/>
          <w:color w:val="auto"/>
          <w:szCs w:val="18"/>
          <w:bdr w:val="nil"/>
        </w:rPr>
        <w:t>résolues durant la procédure</w:t>
      </w:r>
      <w:r w:rsidRPr="00E82082">
        <w:rPr>
          <w:rFonts w:eastAsia="Verdana" w:cs="Verdana"/>
          <w:color w:val="auto"/>
          <w:szCs w:val="18"/>
          <w:bdr w:val="nil"/>
        </w:rPr>
        <w:t xml:space="preserve">. </w:t>
      </w:r>
    </w:p>
    <w:p w:rsidR="0007116A" w:rsidRPr="00E82082" w:rsidRDefault="00E82082" w:rsidP="0007116A">
      <w:pPr>
        <w:numPr>
          <w:ilvl w:val="0"/>
          <w:numId w:val="2"/>
        </w:numPr>
        <w:spacing w:after="0" w:line="240" w:lineRule="auto"/>
        <w:jc w:val="left"/>
        <w:rPr>
          <w:b/>
          <w:color w:val="auto"/>
          <w:szCs w:val="18"/>
        </w:rPr>
      </w:pPr>
      <w:r w:rsidRPr="00E82082">
        <w:rPr>
          <w:rFonts w:eastAsia="Verdana" w:cs="Verdana"/>
          <w:b/>
          <w:color w:val="auto"/>
          <w:szCs w:val="18"/>
          <w:bdr w:val="nil"/>
        </w:rPr>
        <w:t>Modifications de la partie II au module 3 sans modification du contenu</w:t>
      </w:r>
    </w:p>
    <w:p w:rsidR="0007116A" w:rsidRPr="00E82082" w:rsidRDefault="00250067" w:rsidP="0007116A">
      <w:pPr>
        <w:spacing w:after="0" w:line="240" w:lineRule="auto"/>
        <w:jc w:val="left"/>
        <w:rPr>
          <w:b/>
          <w:color w:val="auto"/>
          <w:szCs w:val="18"/>
        </w:rPr>
      </w:pPr>
    </w:p>
    <w:p w:rsidR="0007116A" w:rsidRPr="00E82082" w:rsidRDefault="00E82082" w:rsidP="0007116A">
      <w:pPr>
        <w:spacing w:after="0" w:line="240" w:lineRule="auto"/>
        <w:jc w:val="left"/>
        <w:rPr>
          <w:b/>
          <w:color w:val="auto"/>
          <w:szCs w:val="18"/>
        </w:rPr>
      </w:pPr>
      <w:r w:rsidRPr="00E82082">
        <w:rPr>
          <w:rFonts w:eastAsia="Verdana" w:cs="Verdana"/>
          <w:color w:val="auto"/>
          <w:szCs w:val="18"/>
          <w:bdr w:val="nil"/>
        </w:rPr>
        <w:t xml:space="preserve">Une troisième possibilité est une demande dans laquelle le demandeur présente un module 3 dont le contenu correspond entièrement à une partie II approuvée précédemment. </w:t>
      </w:r>
    </w:p>
    <w:p w:rsidR="0007116A" w:rsidRPr="00E82082" w:rsidRDefault="00250067" w:rsidP="0007116A">
      <w:pPr>
        <w:spacing w:after="0" w:line="240" w:lineRule="auto"/>
        <w:jc w:val="left"/>
        <w:rPr>
          <w:b/>
          <w:color w:val="auto"/>
          <w:szCs w:val="18"/>
        </w:rPr>
      </w:pPr>
    </w:p>
    <w:p w:rsidR="00950A8D" w:rsidRPr="00E82082" w:rsidRDefault="00E82082" w:rsidP="0007116A">
      <w:pPr>
        <w:spacing w:after="0" w:line="240" w:lineRule="auto"/>
        <w:jc w:val="left"/>
        <w:rPr>
          <w:b/>
          <w:color w:val="auto"/>
          <w:szCs w:val="18"/>
        </w:rPr>
      </w:pPr>
      <w:r w:rsidRPr="00E82082">
        <w:rPr>
          <w:rFonts w:eastAsia="Verdana" w:cs="Verdana"/>
          <w:b/>
          <w:color w:val="auto"/>
          <w:szCs w:val="18"/>
          <w:bdr w:val="single" w:sz="4" w:space="0" w:color="auto"/>
        </w:rPr>
        <w:t>Validation à l'AFMPS :</w:t>
      </w:r>
    </w:p>
    <w:p w:rsidR="0007116A" w:rsidRPr="00E82082" w:rsidRDefault="00250067" w:rsidP="0007116A">
      <w:pPr>
        <w:jc w:val="left"/>
        <w:rPr>
          <w:color w:val="auto"/>
          <w:szCs w:val="18"/>
        </w:rPr>
      </w:pPr>
    </w:p>
    <w:p w:rsidR="0007116A" w:rsidRPr="00E82082" w:rsidRDefault="00E82082" w:rsidP="0007116A">
      <w:pPr>
        <w:jc w:val="left"/>
        <w:rPr>
          <w:color w:val="auto"/>
          <w:szCs w:val="18"/>
        </w:rPr>
      </w:pPr>
      <w:r w:rsidRPr="00E82082">
        <w:rPr>
          <w:rFonts w:eastAsia="Verdana" w:cs="Verdana"/>
          <w:color w:val="auto"/>
          <w:szCs w:val="18"/>
          <w:bdr w:val="nil"/>
        </w:rPr>
        <w:t xml:space="preserve">Dans ce cas, le formulaire de demande (parties « champ d’application ») doit confirmer </w:t>
      </w:r>
      <w:r w:rsidRPr="00E82082">
        <w:rPr>
          <w:rFonts w:eastAsia="Verdana" w:cs="Verdana"/>
          <w:b/>
          <w:color w:val="auto"/>
          <w:szCs w:val="18"/>
          <w:bdr w:val="nil"/>
        </w:rPr>
        <w:t>clairement</w:t>
      </w:r>
      <w:r w:rsidRPr="00E82082">
        <w:rPr>
          <w:rFonts w:eastAsia="Verdana" w:cs="Verdana"/>
          <w:color w:val="auto"/>
          <w:szCs w:val="18"/>
          <w:bdr w:val="nil"/>
        </w:rPr>
        <w:t xml:space="preserve"> que le contenu du dossier qualité n’est </w:t>
      </w:r>
      <w:r w:rsidRPr="00E82082">
        <w:rPr>
          <w:rFonts w:eastAsia="Verdana" w:cs="Verdana"/>
          <w:b/>
          <w:color w:val="auto"/>
          <w:szCs w:val="18"/>
          <w:bdr w:val="nil"/>
        </w:rPr>
        <w:t>pas affecté</w:t>
      </w:r>
      <w:r w:rsidRPr="00E82082">
        <w:rPr>
          <w:rFonts w:eastAsia="Verdana" w:cs="Verdana"/>
          <w:color w:val="auto"/>
          <w:szCs w:val="18"/>
          <w:bdr w:val="nil"/>
        </w:rPr>
        <w:t>.</w:t>
      </w:r>
    </w:p>
    <w:p w:rsidR="00950A8D" w:rsidRPr="00E82082" w:rsidRDefault="00E82082" w:rsidP="0007116A">
      <w:pPr>
        <w:jc w:val="left"/>
        <w:rPr>
          <w:color w:val="auto"/>
          <w:szCs w:val="18"/>
        </w:rPr>
      </w:pPr>
      <w:r w:rsidRPr="00E82082">
        <w:rPr>
          <w:rFonts w:eastAsia="Verdana" w:cs="Verdana"/>
          <w:b/>
          <w:color w:val="auto"/>
          <w:szCs w:val="18"/>
          <w:bdr w:val="single" w:sz="4" w:space="0" w:color="auto"/>
        </w:rPr>
        <w:t>Evaluation de la qualité à l'AFMPS :</w:t>
      </w:r>
    </w:p>
    <w:p w:rsidR="0007116A" w:rsidRPr="00E82082" w:rsidRDefault="00E82082" w:rsidP="0007116A">
      <w:pPr>
        <w:jc w:val="left"/>
        <w:rPr>
          <w:color w:val="auto"/>
          <w:szCs w:val="18"/>
        </w:rPr>
      </w:pPr>
      <w:r w:rsidRPr="00E82082">
        <w:rPr>
          <w:rFonts w:eastAsia="Verdana" w:cs="Verdana"/>
          <w:color w:val="auto"/>
          <w:szCs w:val="18"/>
          <w:bdr w:val="nil"/>
        </w:rPr>
        <w:t xml:space="preserve">Dans ce cas, </w:t>
      </w:r>
      <w:r w:rsidRPr="00E82082">
        <w:rPr>
          <w:rFonts w:eastAsia="Verdana" w:cs="Verdana"/>
          <w:b/>
          <w:color w:val="auto"/>
          <w:szCs w:val="18"/>
          <w:bdr w:val="nil"/>
        </w:rPr>
        <w:t>aucune évaluation</w:t>
      </w:r>
      <w:r w:rsidRPr="00E82082">
        <w:rPr>
          <w:rFonts w:eastAsia="Verdana" w:cs="Verdana"/>
          <w:color w:val="auto"/>
          <w:szCs w:val="18"/>
          <w:bdr w:val="nil"/>
        </w:rPr>
        <w:t xml:space="preserve"> n'est requise.</w:t>
      </w:r>
    </w:p>
    <w:p w:rsidR="0007116A" w:rsidRPr="00E82082" w:rsidRDefault="00250067" w:rsidP="0007116A">
      <w:pPr>
        <w:jc w:val="left"/>
        <w:rPr>
          <w:color w:val="auto"/>
          <w:szCs w:val="18"/>
        </w:rPr>
      </w:pPr>
    </w:p>
    <w:p w:rsidR="00950A8D" w:rsidRPr="00E82082" w:rsidRDefault="00E82082" w:rsidP="0007116A">
      <w:pPr>
        <w:pStyle w:val="Lijstalinea"/>
        <w:numPr>
          <w:ilvl w:val="0"/>
          <w:numId w:val="4"/>
        </w:numPr>
        <w:spacing w:after="0" w:line="240" w:lineRule="auto"/>
        <w:jc w:val="left"/>
        <w:rPr>
          <w:b/>
          <w:color w:val="auto"/>
          <w:szCs w:val="18"/>
        </w:rPr>
      </w:pPr>
      <w:r w:rsidRPr="00E82082">
        <w:rPr>
          <w:rFonts w:eastAsia="Verdana" w:cs="Verdana"/>
          <w:b/>
          <w:color w:val="auto"/>
          <w:szCs w:val="18"/>
          <w:bdr w:val="nil"/>
        </w:rPr>
        <w:t>Recommandations aux demandeurs</w:t>
      </w:r>
    </w:p>
    <w:p w:rsidR="0007116A" w:rsidRPr="00E82082" w:rsidRDefault="00250067" w:rsidP="0007116A">
      <w:pPr>
        <w:jc w:val="left"/>
        <w:rPr>
          <w:color w:val="auto"/>
          <w:szCs w:val="18"/>
        </w:rPr>
      </w:pPr>
    </w:p>
    <w:p w:rsidR="00950A8D" w:rsidRPr="00E82082" w:rsidRDefault="00E82082" w:rsidP="0007116A">
      <w:pPr>
        <w:jc w:val="left"/>
        <w:rPr>
          <w:color w:val="auto"/>
          <w:szCs w:val="18"/>
        </w:rPr>
      </w:pPr>
      <w:r w:rsidRPr="00E82082">
        <w:rPr>
          <w:rFonts w:eastAsia="Verdana" w:cs="Verdana"/>
          <w:color w:val="auto"/>
          <w:szCs w:val="18"/>
          <w:bdr w:val="nil"/>
        </w:rPr>
        <w:t>Dans le formulaire de demande (section « champ d’application »), il doit être clairement indiqué si la demande est :</w:t>
      </w:r>
    </w:p>
    <w:p w:rsidR="0007116A" w:rsidRPr="00E82082" w:rsidRDefault="00E82082" w:rsidP="0007116A">
      <w:pPr>
        <w:pStyle w:val="Lijstalinea"/>
        <w:numPr>
          <w:ilvl w:val="0"/>
          <w:numId w:val="6"/>
        </w:numPr>
        <w:jc w:val="left"/>
        <w:rPr>
          <w:color w:val="auto"/>
          <w:szCs w:val="18"/>
        </w:rPr>
      </w:pPr>
      <w:r w:rsidRPr="00E82082">
        <w:rPr>
          <w:rFonts w:eastAsia="Verdana" w:cs="Verdana"/>
          <w:color w:val="auto"/>
          <w:szCs w:val="18"/>
          <w:bdr w:val="nil"/>
        </w:rPr>
        <w:t xml:space="preserve">une modification de type II (avec un champ d'application spécifique et défini clairement), </w:t>
      </w:r>
    </w:p>
    <w:p w:rsidR="0007116A" w:rsidRPr="00E82082" w:rsidRDefault="00E82082" w:rsidP="0007116A">
      <w:pPr>
        <w:pStyle w:val="Lijstalinea"/>
        <w:numPr>
          <w:ilvl w:val="0"/>
          <w:numId w:val="6"/>
        </w:numPr>
        <w:jc w:val="left"/>
        <w:rPr>
          <w:color w:val="auto"/>
          <w:szCs w:val="18"/>
        </w:rPr>
      </w:pPr>
      <w:r w:rsidRPr="00E82082">
        <w:rPr>
          <w:rFonts w:eastAsia="Verdana" w:cs="Verdana"/>
          <w:color w:val="auto"/>
          <w:szCs w:val="18"/>
          <w:bdr w:val="nil"/>
        </w:rPr>
        <w:t>une mise à jour globale du dossier qualité</w:t>
      </w:r>
    </w:p>
    <w:p w:rsidR="00950A8D" w:rsidRPr="00E82082" w:rsidRDefault="00E82082" w:rsidP="0007116A">
      <w:pPr>
        <w:pStyle w:val="Lijstalinea"/>
        <w:numPr>
          <w:ilvl w:val="0"/>
          <w:numId w:val="6"/>
        </w:numPr>
        <w:jc w:val="left"/>
        <w:rPr>
          <w:color w:val="auto"/>
          <w:szCs w:val="18"/>
        </w:rPr>
      </w:pPr>
      <w:r w:rsidRPr="00E82082">
        <w:rPr>
          <w:rFonts w:eastAsia="Verdana" w:cs="Verdana"/>
          <w:color w:val="auto"/>
          <w:szCs w:val="18"/>
          <w:bdr w:val="nil"/>
        </w:rPr>
        <w:lastRenderedPageBreak/>
        <w:t>une modification du format de la partie II au format du module 3, sans changements au niveau du contenu.</w:t>
      </w:r>
    </w:p>
    <w:p w:rsidR="00950A8D" w:rsidRPr="00E82082" w:rsidRDefault="00E82082" w:rsidP="0007116A">
      <w:pPr>
        <w:jc w:val="left"/>
        <w:rPr>
          <w:color w:val="auto"/>
          <w:szCs w:val="18"/>
        </w:rPr>
      </w:pPr>
      <w:r w:rsidRPr="00E82082">
        <w:rPr>
          <w:rFonts w:eastAsia="Verdana" w:cs="Verdana"/>
          <w:color w:val="auto"/>
          <w:szCs w:val="18"/>
          <w:bdr w:val="nil"/>
        </w:rPr>
        <w:t>Si la catégorie n'est pas claire, cela peut retarder la validation de la demande.</w:t>
      </w:r>
    </w:p>
    <w:p w:rsidR="00950A8D" w:rsidRPr="00E82082" w:rsidRDefault="00E82082" w:rsidP="0007116A">
      <w:pPr>
        <w:jc w:val="left"/>
        <w:rPr>
          <w:color w:val="auto"/>
          <w:szCs w:val="18"/>
        </w:rPr>
      </w:pPr>
      <w:r w:rsidRPr="00E82082">
        <w:rPr>
          <w:rFonts w:eastAsia="Verdana" w:cs="Verdana"/>
          <w:color w:val="auto"/>
          <w:szCs w:val="18"/>
          <w:bdr w:val="nil"/>
        </w:rPr>
        <w:t>Le niveau d'évaluation dépend de la catégorie.</w:t>
      </w:r>
    </w:p>
    <w:p w:rsidR="006D18CA" w:rsidRPr="00E82082" w:rsidRDefault="00250067">
      <w:pPr>
        <w:rPr>
          <w:color w:val="auto"/>
        </w:rPr>
      </w:pPr>
    </w:p>
    <w:sectPr w:rsidR="006D18CA" w:rsidRPr="00E82082" w:rsidSect="00CA2117">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67" w:rsidRDefault="00250067">
      <w:pPr>
        <w:spacing w:after="0" w:line="240" w:lineRule="auto"/>
      </w:pPr>
      <w:r>
        <w:separator/>
      </w:r>
    </w:p>
  </w:endnote>
  <w:endnote w:type="continuationSeparator" w:id="0">
    <w:p w:rsidR="00250067" w:rsidRDefault="0025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A" w:rsidRPr="003470CE" w:rsidRDefault="00E82082" w:rsidP="004C26DC">
    <w:pPr>
      <w:pStyle w:val="Koptekst"/>
      <w:tabs>
        <w:tab w:val="clear" w:pos="4536"/>
        <w:tab w:val="clear" w:pos="9072"/>
        <w:tab w:val="center" w:pos="4819"/>
        <w:tab w:val="right" w:pos="9638"/>
      </w:tabs>
      <w:spacing w:line="324" w:lineRule="auto"/>
      <w:rPr>
        <w:rFonts w:ascii="Verdana" w:hAnsi="Verdana"/>
        <w:color w:val="729BC8"/>
        <w:sz w:val="14"/>
        <w:szCs w:val="14"/>
      </w:rPr>
    </w:pPr>
    <w:r>
      <w:rPr>
        <w:noProof/>
        <w:lang w:val="nl-BE" w:eastAsia="nl-BE"/>
      </w:rPr>
      <w:drawing>
        <wp:anchor distT="0" distB="0" distL="114300" distR="114300" simplePos="0" relativeHeight="251659264" behindDoc="0" locked="0" layoutInCell="1" allowOverlap="1">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color w:val="729BC8"/>
        <w:sz w:val="14"/>
        <w:szCs w:val="14"/>
        <w:bdr w:val="nil"/>
      </w:rPr>
      <w:t>afmps</w:t>
    </w:r>
    <w:r>
      <w:rPr>
        <w:rFonts w:ascii="Verdana" w:eastAsia="Verdana" w:hAnsi="Verdana" w:cs="Verdana"/>
        <w:color w:val="729BC8"/>
        <w:sz w:val="14"/>
        <w:szCs w:val="14"/>
        <w:bdr w:val="nil"/>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2917E8" w:rsidRPr="002917E8">
      <w:rPr>
        <w:rFonts w:ascii="Verdana" w:hAnsi="Verdana"/>
        <w:noProof/>
        <w:color w:val="729BC8"/>
        <w:sz w:val="14"/>
        <w:szCs w:val="14"/>
        <w:lang w:val="fr-FR"/>
      </w:rPr>
      <w:t>3</w:t>
    </w:r>
    <w:r w:rsidRPr="003470CE">
      <w:rPr>
        <w:rFonts w:ascii="Verdana" w:hAnsi="Verdana"/>
        <w:color w:val="729BC8"/>
        <w:sz w:val="14"/>
        <w:szCs w:val="14"/>
      </w:rPr>
      <w:fldChar w:fldCharType="end"/>
    </w:r>
    <w:r w:rsidRPr="003470CE">
      <w:rPr>
        <w:rFonts w:ascii="Verdana" w:eastAsia="Verdana" w:hAnsi="Verdana" w:cs="Verdana"/>
        <w:sz w:val="14"/>
        <w:szCs w:val="14"/>
      </w:rPr>
      <w:t xml:space="preserve"> </w:t>
    </w:r>
    <w:r w:rsidRPr="003470CE">
      <w:rPr>
        <w:rFonts w:ascii="Verdana" w:eastAsia="Verdana" w:hAnsi="Verdana" w:cs="Verdana"/>
        <w:color w:val="A6A6A6"/>
        <w:sz w:val="14"/>
        <w:szCs w:val="14"/>
      </w:rPr>
      <w:t xml:space="preserve">| </w:t>
    </w:r>
    <w:fldSimple w:instr="NUMPAGES  \* Arabic  \* MERGEFORMAT">
      <w:r w:rsidR="002917E8" w:rsidRPr="002917E8">
        <w:rPr>
          <w:rFonts w:ascii="Verdana" w:hAnsi="Verdana"/>
          <w:noProof/>
          <w:color w:val="A6A6A6"/>
          <w:sz w:val="14"/>
          <w:szCs w:val="14"/>
          <w:lang w:val="fr-FR"/>
        </w:rPr>
        <w:t>4</w:t>
      </w:r>
    </w:fldSimple>
    <w:r>
      <w:rPr>
        <w:rFonts w:ascii="Verdana" w:eastAsia="Verdana" w:hAnsi="Verdana" w:cs="Verdana"/>
        <w:noProof/>
        <w:color w:val="729BC8"/>
        <w:sz w:val="14"/>
        <w:szCs w:val="14"/>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6A" w:rsidRPr="003470CE" w:rsidRDefault="00E82082" w:rsidP="004C26DC">
    <w:pPr>
      <w:pStyle w:val="Voettekst"/>
      <w:tabs>
        <w:tab w:val="clear" w:pos="4536"/>
        <w:tab w:val="clear" w:pos="9072"/>
        <w:tab w:val="center" w:pos="4819"/>
        <w:tab w:val="right" w:pos="9638"/>
      </w:tabs>
      <w:jc w:val="center"/>
      <w:rPr>
        <w:rFonts w:ascii="Verdana" w:hAnsi="Verdana"/>
        <w:sz w:val="14"/>
        <w:szCs w:val="14"/>
      </w:rPr>
    </w:pPr>
    <w:r>
      <w:rPr>
        <w:noProof/>
        <w:lang w:val="nl-BE" w:eastAsia="nl-BE"/>
      </w:rPr>
      <w:drawing>
        <wp:anchor distT="0" distB="0" distL="114300" distR="114300" simplePos="0" relativeHeight="251658240" behindDoc="0" locked="0" layoutInCell="1" allowOverlap="1">
          <wp:simplePos x="0" y="0"/>
          <wp:positionH relativeFrom="column">
            <wp:posOffset>6146800</wp:posOffset>
          </wp:positionH>
          <wp:positionV relativeFrom="paragraph">
            <wp:posOffset>36830</wp:posOffset>
          </wp:positionV>
          <wp:extent cx="391160" cy="283845"/>
          <wp:effectExtent l="0" t="0" r="8890" b="1905"/>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color w:val="A6A6A6"/>
        <w:sz w:val="14"/>
        <w:szCs w:val="14"/>
        <w:bdr w:val="nil"/>
      </w:rPr>
      <w:t xml:space="preserve">Numéro d'entreprise : </w:t>
    </w:r>
    <w:r>
      <w:rPr>
        <w:rFonts w:ascii="Verdana" w:eastAsia="Verdana" w:hAnsi="Verdana" w:cs="Verdana"/>
        <w:color w:val="729BC8"/>
        <w:sz w:val="14"/>
        <w:szCs w:val="14"/>
        <w:bdr w:val="nil"/>
      </w:rPr>
      <w:t xml:space="preserve">BE 0884 579 424 </w:t>
    </w:r>
    <w:r>
      <w:rPr>
        <w:rFonts w:ascii="Verdana" w:eastAsia="Verdana" w:hAnsi="Verdana" w:cs="Verdana"/>
        <w:color w:val="729BC8"/>
        <w:sz w:val="14"/>
        <w:szCs w:val="14"/>
        <w:bdr w:val="nil"/>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2917E8" w:rsidRPr="002917E8">
      <w:rPr>
        <w:rFonts w:ascii="Verdana" w:hAnsi="Verdana"/>
        <w:noProof/>
        <w:color w:val="729BC8"/>
        <w:sz w:val="14"/>
        <w:szCs w:val="14"/>
        <w:lang w:val="fr-FR"/>
      </w:rPr>
      <w:t>1</w:t>
    </w:r>
    <w:r w:rsidRPr="003470CE">
      <w:rPr>
        <w:rFonts w:ascii="Verdana" w:hAnsi="Verdana"/>
        <w:color w:val="729BC8"/>
        <w:sz w:val="14"/>
        <w:szCs w:val="14"/>
      </w:rPr>
      <w:fldChar w:fldCharType="end"/>
    </w:r>
    <w:r w:rsidRPr="003470CE">
      <w:rPr>
        <w:rFonts w:ascii="Verdana" w:eastAsia="Verdana" w:hAnsi="Verdana" w:cs="Verdana"/>
        <w:sz w:val="14"/>
        <w:szCs w:val="14"/>
      </w:rPr>
      <w:t xml:space="preserve"> </w:t>
    </w:r>
    <w:r w:rsidRPr="003470CE">
      <w:rPr>
        <w:rFonts w:ascii="Verdana" w:eastAsia="Verdana" w:hAnsi="Verdana" w:cs="Verdana"/>
        <w:color w:val="A6A6A6"/>
        <w:sz w:val="14"/>
        <w:szCs w:val="14"/>
      </w:rPr>
      <w:t xml:space="preserve">| </w:t>
    </w:r>
    <w:fldSimple w:instr="NUMPAGES  \* Arabic  \* MERGEFORMAT">
      <w:r w:rsidR="002917E8" w:rsidRPr="002917E8">
        <w:rPr>
          <w:rFonts w:ascii="Verdana" w:hAnsi="Verdana"/>
          <w:noProof/>
          <w:color w:val="A6A6A6"/>
          <w:sz w:val="14"/>
          <w:szCs w:val="14"/>
          <w:lang w:val="fr-FR"/>
        </w:rPr>
        <w:t>4</w:t>
      </w:r>
    </w:fldSimple>
    <w:r>
      <w:rPr>
        <w:rFonts w:ascii="Verdana" w:eastAsia="Verdana" w:hAnsi="Verdana" w:cs="Verdana"/>
        <w:noProof/>
        <w:sz w:val="14"/>
        <w:szCs w:val="14"/>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67" w:rsidRDefault="00250067">
      <w:pPr>
        <w:spacing w:after="0" w:line="240" w:lineRule="auto"/>
      </w:pPr>
      <w:r>
        <w:separator/>
      </w:r>
    </w:p>
  </w:footnote>
  <w:footnote w:type="continuationSeparator" w:id="0">
    <w:p w:rsidR="00250067" w:rsidRDefault="00250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D92A5C" w:rsidTr="006004FA">
      <w:trPr>
        <w:trHeight w:val="1421"/>
      </w:trPr>
      <w:tc>
        <w:tcPr>
          <w:tcW w:w="5070" w:type="dxa"/>
        </w:tcPr>
        <w:p w:rsidR="0007116A" w:rsidRPr="009724F0" w:rsidRDefault="00E82082" w:rsidP="009724F0">
          <w:pPr>
            <w:pStyle w:val="Koptekst"/>
            <w:rPr>
              <w:rFonts w:ascii="Verdana" w:hAnsi="Verdana"/>
              <w:sz w:val="14"/>
              <w:szCs w:val="14"/>
            </w:rPr>
          </w:pPr>
          <w:r>
            <w:rPr>
              <w:rFonts w:ascii="Verdana" w:hAnsi="Verdana"/>
              <w:noProof/>
              <w:color w:val="729BC8"/>
              <w:sz w:val="14"/>
              <w:szCs w:val="14"/>
              <w:lang w:val="nl-BE" w:eastAsia="nl-BE"/>
            </w:rPr>
            <w:drawing>
              <wp:anchor distT="0" distB="0" distL="114300" distR="114300" simplePos="0" relativeHeight="251660288" behindDoc="0" locked="0" layoutInCell="1" allowOverlap="1">
                <wp:simplePos x="0" y="0"/>
                <wp:positionH relativeFrom="column">
                  <wp:posOffset>544</wp:posOffset>
                </wp:positionH>
                <wp:positionV relativeFrom="paragraph">
                  <wp:posOffset>807084</wp:posOffset>
                </wp:positionV>
                <wp:extent cx="3142819" cy="359229"/>
                <wp:effectExtent l="0" t="0" r="635" b="3175"/>
                <wp:wrapNone/>
                <wp:docPr id="10" name="Image 10" descr="G:\0 NIEUWE STRUCTUUR - NOUVELLE STRUCTURE\Toolbox van de Afdeling Communicatie - boîte à outils de la Division Communication\Logo's - logos\10 jaar - 10 ans\logo 10 years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 NIEUWE STRUCTUUR - NOUVELLE STRUCTURE\Toolbox van de Afdeling Communicatie - boîte à outils de la Division Communication\Logo's - logos\10 jaar - 10 ans\logo 10 years_v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12434" cy="3671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sz w:val="14"/>
              <w:szCs w:val="14"/>
              <w:lang w:val="nl-BE" w:eastAsia="nl-BE"/>
            </w:rPr>
            <w:drawing>
              <wp:inline distT="0" distB="0" distL="0" distR="0">
                <wp:extent cx="2080260" cy="769620"/>
                <wp:effectExtent l="0" t="0" r="0" b="0"/>
                <wp:docPr id="1"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80260" cy="769620"/>
                        </a:xfrm>
                        <a:prstGeom prst="rect">
                          <a:avLst/>
                        </a:prstGeom>
                        <a:noFill/>
                        <a:ln>
                          <a:noFill/>
                        </a:ln>
                      </pic:spPr>
                    </pic:pic>
                  </a:graphicData>
                </a:graphic>
              </wp:inline>
            </w:drawing>
          </w:r>
        </w:p>
      </w:tc>
      <w:tc>
        <w:tcPr>
          <w:tcW w:w="4961" w:type="dxa"/>
          <w:vMerge w:val="restart"/>
        </w:tcPr>
        <w:p w:rsidR="0007116A" w:rsidRPr="00E82082" w:rsidRDefault="00E82082" w:rsidP="009724F0">
          <w:pPr>
            <w:pStyle w:val="Koptekst"/>
            <w:rPr>
              <w:rFonts w:ascii="Verdana" w:hAnsi="Verdana"/>
              <w:color w:val="729BC8"/>
              <w:sz w:val="14"/>
              <w:szCs w:val="14"/>
            </w:rPr>
          </w:pPr>
          <w:r>
            <w:rPr>
              <w:rFonts w:ascii="Verdana" w:eastAsia="Verdana" w:hAnsi="Verdana" w:cs="Verdana"/>
              <w:color w:val="729BC8"/>
              <w:sz w:val="14"/>
              <w:szCs w:val="14"/>
              <w:bdr w:val="nil"/>
            </w:rPr>
            <w:t>agence fédérale des médicaments et des produits de santé</w:t>
          </w:r>
        </w:p>
        <w:p w:rsidR="0007116A" w:rsidRPr="009724F0" w:rsidRDefault="00E82082" w:rsidP="009724F0">
          <w:pPr>
            <w:pStyle w:val="Koptekst"/>
            <w:rPr>
              <w:rFonts w:ascii="Verdana" w:hAnsi="Verdana"/>
              <w:color w:val="729BC8"/>
              <w:sz w:val="14"/>
              <w:szCs w:val="14"/>
            </w:rPr>
          </w:pPr>
          <w:proofErr w:type="spellStart"/>
          <w:r>
            <w:rPr>
              <w:rFonts w:ascii="Verdana" w:eastAsia="Verdana" w:hAnsi="Verdana" w:cs="Verdana"/>
              <w:color w:val="729BC8"/>
              <w:sz w:val="14"/>
              <w:szCs w:val="14"/>
              <w:bdr w:val="nil"/>
            </w:rPr>
            <w:t>Eurostation</w:t>
          </w:r>
          <w:proofErr w:type="spellEnd"/>
          <w:r>
            <w:rPr>
              <w:rFonts w:ascii="Verdana" w:eastAsia="Verdana" w:hAnsi="Verdana" w:cs="Verdana"/>
              <w:color w:val="729BC8"/>
              <w:sz w:val="14"/>
              <w:szCs w:val="14"/>
              <w:bdr w:val="nil"/>
            </w:rPr>
            <w:t xml:space="preserve"> II - Place Victor Horta 40/40</w:t>
          </w:r>
        </w:p>
        <w:p w:rsidR="0007116A" w:rsidRPr="009724F0" w:rsidRDefault="00E82082" w:rsidP="009724F0">
          <w:pPr>
            <w:pStyle w:val="Koptekst"/>
            <w:rPr>
              <w:rFonts w:ascii="Verdana" w:hAnsi="Verdana"/>
              <w:color w:val="729BC8"/>
              <w:sz w:val="14"/>
              <w:szCs w:val="14"/>
            </w:rPr>
          </w:pPr>
          <w:r>
            <w:rPr>
              <w:rFonts w:ascii="Verdana" w:eastAsia="Verdana" w:hAnsi="Verdana" w:cs="Verdana"/>
              <w:color w:val="729BC8"/>
              <w:sz w:val="14"/>
              <w:szCs w:val="14"/>
              <w:bdr w:val="nil"/>
            </w:rPr>
            <w:t>1060 BRUXELLES</w:t>
          </w:r>
        </w:p>
        <w:p w:rsidR="0007116A" w:rsidRPr="009724F0" w:rsidRDefault="00E82082" w:rsidP="009724F0">
          <w:pPr>
            <w:pStyle w:val="Koptekst"/>
            <w:rPr>
              <w:rFonts w:ascii="Verdana" w:hAnsi="Verdana"/>
              <w:sz w:val="14"/>
              <w:szCs w:val="14"/>
            </w:rPr>
          </w:pPr>
          <w:r>
            <w:rPr>
              <w:rFonts w:ascii="Verdana" w:eastAsia="Verdana" w:hAnsi="Verdana" w:cs="Verdana"/>
              <w:color w:val="729BC8"/>
              <w:sz w:val="14"/>
              <w:szCs w:val="14"/>
              <w:bdr w:val="nil"/>
            </w:rPr>
            <w:t>www.afmps.be</w:t>
          </w:r>
        </w:p>
      </w:tc>
    </w:tr>
    <w:tr w:rsidR="00D92A5C" w:rsidTr="006004FA">
      <w:trPr>
        <w:trHeight w:val="284"/>
      </w:trPr>
      <w:tc>
        <w:tcPr>
          <w:tcW w:w="5070" w:type="dxa"/>
          <w:tcMar>
            <w:left w:w="567" w:type="dxa"/>
          </w:tcMar>
        </w:tcPr>
        <w:p w:rsidR="0007116A" w:rsidRPr="009724F0" w:rsidRDefault="00250067" w:rsidP="009724F0">
          <w:pPr>
            <w:pStyle w:val="Koptekst"/>
            <w:rPr>
              <w:rFonts w:ascii="Verdana" w:hAnsi="Verdana"/>
              <w:color w:val="729BC8"/>
              <w:sz w:val="14"/>
              <w:szCs w:val="14"/>
              <w:lang w:val="en-GB"/>
            </w:rPr>
          </w:pPr>
        </w:p>
      </w:tc>
      <w:tc>
        <w:tcPr>
          <w:tcW w:w="4961" w:type="dxa"/>
          <w:vMerge/>
          <w:tcMar>
            <w:top w:w="0" w:type="dxa"/>
          </w:tcMar>
        </w:tcPr>
        <w:p w:rsidR="0007116A" w:rsidRPr="009724F0" w:rsidRDefault="00250067" w:rsidP="009724F0">
          <w:pPr>
            <w:pStyle w:val="Koptekst"/>
            <w:rPr>
              <w:rFonts w:ascii="Verdana" w:hAnsi="Verdana"/>
              <w:sz w:val="14"/>
              <w:szCs w:val="14"/>
            </w:rPr>
          </w:pPr>
        </w:p>
      </w:tc>
    </w:tr>
  </w:tbl>
  <w:p w:rsidR="0007116A" w:rsidRPr="00FA77E1" w:rsidRDefault="00250067">
    <w:pPr>
      <w:pStyle w:val="Koptekst"/>
      <w:rPr>
        <w:rFonts w:ascii="Verdana" w:hAnsi="Verdana"/>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212"/>
    <w:multiLevelType w:val="hybridMultilevel"/>
    <w:tmpl w:val="8AC42B26"/>
    <w:lvl w:ilvl="0" w:tplc="049C3500">
      <w:start w:val="1"/>
      <w:numFmt w:val="decimal"/>
      <w:lvlText w:val="%1."/>
      <w:lvlJc w:val="left"/>
      <w:pPr>
        <w:tabs>
          <w:tab w:val="num" w:pos="720"/>
        </w:tabs>
        <w:ind w:left="720" w:hanging="360"/>
      </w:pPr>
    </w:lvl>
    <w:lvl w:ilvl="1" w:tplc="B8C03DD2" w:tentative="1">
      <w:start w:val="1"/>
      <w:numFmt w:val="lowerLetter"/>
      <w:lvlText w:val="%2."/>
      <w:lvlJc w:val="left"/>
      <w:pPr>
        <w:tabs>
          <w:tab w:val="num" w:pos="1440"/>
        </w:tabs>
        <w:ind w:left="1440" w:hanging="360"/>
      </w:pPr>
    </w:lvl>
    <w:lvl w:ilvl="2" w:tplc="09A8DE56" w:tentative="1">
      <w:start w:val="1"/>
      <w:numFmt w:val="lowerRoman"/>
      <w:lvlText w:val="%3."/>
      <w:lvlJc w:val="right"/>
      <w:pPr>
        <w:tabs>
          <w:tab w:val="num" w:pos="2160"/>
        </w:tabs>
        <w:ind w:left="2160" w:hanging="180"/>
      </w:pPr>
    </w:lvl>
    <w:lvl w:ilvl="3" w:tplc="12F0C2EE" w:tentative="1">
      <w:start w:val="1"/>
      <w:numFmt w:val="decimal"/>
      <w:lvlText w:val="%4."/>
      <w:lvlJc w:val="left"/>
      <w:pPr>
        <w:tabs>
          <w:tab w:val="num" w:pos="2880"/>
        </w:tabs>
        <w:ind w:left="2880" w:hanging="360"/>
      </w:pPr>
    </w:lvl>
    <w:lvl w:ilvl="4" w:tplc="DD14C6C4" w:tentative="1">
      <w:start w:val="1"/>
      <w:numFmt w:val="lowerLetter"/>
      <w:lvlText w:val="%5."/>
      <w:lvlJc w:val="left"/>
      <w:pPr>
        <w:tabs>
          <w:tab w:val="num" w:pos="3600"/>
        </w:tabs>
        <w:ind w:left="3600" w:hanging="360"/>
      </w:pPr>
    </w:lvl>
    <w:lvl w:ilvl="5" w:tplc="DA187C7E" w:tentative="1">
      <w:start w:val="1"/>
      <w:numFmt w:val="lowerRoman"/>
      <w:lvlText w:val="%6."/>
      <w:lvlJc w:val="right"/>
      <w:pPr>
        <w:tabs>
          <w:tab w:val="num" w:pos="4320"/>
        </w:tabs>
        <w:ind w:left="4320" w:hanging="180"/>
      </w:pPr>
    </w:lvl>
    <w:lvl w:ilvl="6" w:tplc="707E286A" w:tentative="1">
      <w:start w:val="1"/>
      <w:numFmt w:val="decimal"/>
      <w:lvlText w:val="%7."/>
      <w:lvlJc w:val="left"/>
      <w:pPr>
        <w:tabs>
          <w:tab w:val="num" w:pos="5040"/>
        </w:tabs>
        <w:ind w:left="5040" w:hanging="360"/>
      </w:pPr>
    </w:lvl>
    <w:lvl w:ilvl="7" w:tplc="CF06A154" w:tentative="1">
      <w:start w:val="1"/>
      <w:numFmt w:val="lowerLetter"/>
      <w:lvlText w:val="%8."/>
      <w:lvlJc w:val="left"/>
      <w:pPr>
        <w:tabs>
          <w:tab w:val="num" w:pos="5760"/>
        </w:tabs>
        <w:ind w:left="5760" w:hanging="360"/>
      </w:pPr>
    </w:lvl>
    <w:lvl w:ilvl="8" w:tplc="B366E2A0" w:tentative="1">
      <w:start w:val="1"/>
      <w:numFmt w:val="lowerRoman"/>
      <w:lvlText w:val="%9."/>
      <w:lvlJc w:val="right"/>
      <w:pPr>
        <w:tabs>
          <w:tab w:val="num" w:pos="6480"/>
        </w:tabs>
        <w:ind w:left="6480" w:hanging="180"/>
      </w:pPr>
    </w:lvl>
  </w:abstractNum>
  <w:abstractNum w:abstractNumId="1" w15:restartNumberingAfterBreak="0">
    <w:nsid w:val="09203A42"/>
    <w:multiLevelType w:val="hybridMultilevel"/>
    <w:tmpl w:val="723252F6"/>
    <w:lvl w:ilvl="0" w:tplc="ECA2B7A4">
      <w:start w:val="1"/>
      <w:numFmt w:val="decimal"/>
      <w:lvlText w:val="%1."/>
      <w:lvlJc w:val="left"/>
      <w:pPr>
        <w:ind w:left="360" w:hanging="360"/>
      </w:pPr>
      <w:rPr>
        <w:rFonts w:hint="default"/>
        <w:b/>
        <w:u w:val="none"/>
      </w:rPr>
    </w:lvl>
    <w:lvl w:ilvl="1" w:tplc="9A88F81C" w:tentative="1">
      <w:start w:val="1"/>
      <w:numFmt w:val="lowerLetter"/>
      <w:lvlText w:val="%2."/>
      <w:lvlJc w:val="left"/>
      <w:pPr>
        <w:ind w:left="1080" w:hanging="360"/>
      </w:pPr>
    </w:lvl>
    <w:lvl w:ilvl="2" w:tplc="D96EEC0E" w:tentative="1">
      <w:start w:val="1"/>
      <w:numFmt w:val="lowerRoman"/>
      <w:lvlText w:val="%3."/>
      <w:lvlJc w:val="right"/>
      <w:pPr>
        <w:ind w:left="1800" w:hanging="180"/>
      </w:pPr>
    </w:lvl>
    <w:lvl w:ilvl="3" w:tplc="5A68D54C" w:tentative="1">
      <w:start w:val="1"/>
      <w:numFmt w:val="decimal"/>
      <w:lvlText w:val="%4."/>
      <w:lvlJc w:val="left"/>
      <w:pPr>
        <w:ind w:left="2520" w:hanging="360"/>
      </w:pPr>
    </w:lvl>
    <w:lvl w:ilvl="4" w:tplc="851E3316" w:tentative="1">
      <w:start w:val="1"/>
      <w:numFmt w:val="lowerLetter"/>
      <w:lvlText w:val="%5."/>
      <w:lvlJc w:val="left"/>
      <w:pPr>
        <w:ind w:left="3240" w:hanging="360"/>
      </w:pPr>
    </w:lvl>
    <w:lvl w:ilvl="5" w:tplc="41E8C69E" w:tentative="1">
      <w:start w:val="1"/>
      <w:numFmt w:val="lowerRoman"/>
      <w:lvlText w:val="%6."/>
      <w:lvlJc w:val="right"/>
      <w:pPr>
        <w:ind w:left="3960" w:hanging="180"/>
      </w:pPr>
    </w:lvl>
    <w:lvl w:ilvl="6" w:tplc="56C66C86" w:tentative="1">
      <w:start w:val="1"/>
      <w:numFmt w:val="decimal"/>
      <w:lvlText w:val="%7."/>
      <w:lvlJc w:val="left"/>
      <w:pPr>
        <w:ind w:left="4680" w:hanging="360"/>
      </w:pPr>
    </w:lvl>
    <w:lvl w:ilvl="7" w:tplc="AE22D1BC" w:tentative="1">
      <w:start w:val="1"/>
      <w:numFmt w:val="lowerLetter"/>
      <w:lvlText w:val="%8."/>
      <w:lvlJc w:val="left"/>
      <w:pPr>
        <w:ind w:left="5400" w:hanging="360"/>
      </w:pPr>
    </w:lvl>
    <w:lvl w:ilvl="8" w:tplc="A8740508" w:tentative="1">
      <w:start w:val="1"/>
      <w:numFmt w:val="lowerRoman"/>
      <w:lvlText w:val="%9."/>
      <w:lvlJc w:val="right"/>
      <w:pPr>
        <w:ind w:left="6120" w:hanging="180"/>
      </w:pPr>
    </w:lvl>
  </w:abstractNum>
  <w:abstractNum w:abstractNumId="2" w15:restartNumberingAfterBreak="0">
    <w:nsid w:val="16020226"/>
    <w:multiLevelType w:val="hybridMultilevel"/>
    <w:tmpl w:val="4E00AC60"/>
    <w:lvl w:ilvl="0" w:tplc="1FD6D652">
      <w:start w:val="1"/>
      <w:numFmt w:val="lowerLetter"/>
      <w:lvlText w:val="(%1)"/>
      <w:lvlJc w:val="left"/>
      <w:pPr>
        <w:ind w:left="540" w:hanging="540"/>
      </w:pPr>
      <w:rPr>
        <w:rFonts w:hint="default"/>
      </w:rPr>
    </w:lvl>
    <w:lvl w:ilvl="1" w:tplc="8C587292" w:tentative="1">
      <w:start w:val="1"/>
      <w:numFmt w:val="lowerLetter"/>
      <w:lvlText w:val="%2."/>
      <w:lvlJc w:val="left"/>
      <w:pPr>
        <w:ind w:left="1080" w:hanging="360"/>
      </w:pPr>
    </w:lvl>
    <w:lvl w:ilvl="2" w:tplc="C096E056" w:tentative="1">
      <w:start w:val="1"/>
      <w:numFmt w:val="lowerRoman"/>
      <w:lvlText w:val="%3."/>
      <w:lvlJc w:val="right"/>
      <w:pPr>
        <w:ind w:left="1800" w:hanging="180"/>
      </w:pPr>
    </w:lvl>
    <w:lvl w:ilvl="3" w:tplc="D2CC93D2" w:tentative="1">
      <w:start w:val="1"/>
      <w:numFmt w:val="decimal"/>
      <w:lvlText w:val="%4."/>
      <w:lvlJc w:val="left"/>
      <w:pPr>
        <w:ind w:left="2520" w:hanging="360"/>
      </w:pPr>
    </w:lvl>
    <w:lvl w:ilvl="4" w:tplc="4948B9AA" w:tentative="1">
      <w:start w:val="1"/>
      <w:numFmt w:val="lowerLetter"/>
      <w:lvlText w:val="%5."/>
      <w:lvlJc w:val="left"/>
      <w:pPr>
        <w:ind w:left="3240" w:hanging="360"/>
      </w:pPr>
    </w:lvl>
    <w:lvl w:ilvl="5" w:tplc="57C6E0D8" w:tentative="1">
      <w:start w:val="1"/>
      <w:numFmt w:val="lowerRoman"/>
      <w:lvlText w:val="%6."/>
      <w:lvlJc w:val="right"/>
      <w:pPr>
        <w:ind w:left="3960" w:hanging="180"/>
      </w:pPr>
    </w:lvl>
    <w:lvl w:ilvl="6" w:tplc="6D9428F2" w:tentative="1">
      <w:start w:val="1"/>
      <w:numFmt w:val="decimal"/>
      <w:lvlText w:val="%7."/>
      <w:lvlJc w:val="left"/>
      <w:pPr>
        <w:ind w:left="4680" w:hanging="360"/>
      </w:pPr>
    </w:lvl>
    <w:lvl w:ilvl="7" w:tplc="1972886C" w:tentative="1">
      <w:start w:val="1"/>
      <w:numFmt w:val="lowerLetter"/>
      <w:lvlText w:val="%8."/>
      <w:lvlJc w:val="left"/>
      <w:pPr>
        <w:ind w:left="5400" w:hanging="360"/>
      </w:pPr>
    </w:lvl>
    <w:lvl w:ilvl="8" w:tplc="F9D62E34" w:tentative="1">
      <w:start w:val="1"/>
      <w:numFmt w:val="lowerRoman"/>
      <w:lvlText w:val="%9."/>
      <w:lvlJc w:val="right"/>
      <w:pPr>
        <w:ind w:left="6120" w:hanging="180"/>
      </w:pPr>
    </w:lvl>
  </w:abstractNum>
  <w:abstractNum w:abstractNumId="3" w15:restartNumberingAfterBreak="0">
    <w:nsid w:val="3C9A1D58"/>
    <w:multiLevelType w:val="hybridMultilevel"/>
    <w:tmpl w:val="491E8E4E"/>
    <w:lvl w:ilvl="0" w:tplc="C1E624A0">
      <w:start w:val="1"/>
      <w:numFmt w:val="decimal"/>
      <w:lvlText w:val="%1."/>
      <w:lvlJc w:val="left"/>
      <w:pPr>
        <w:ind w:left="360" w:hanging="360"/>
      </w:pPr>
      <w:rPr>
        <w:rFonts w:hint="default"/>
        <w:u w:val="none"/>
      </w:rPr>
    </w:lvl>
    <w:lvl w:ilvl="1" w:tplc="78C69FE6" w:tentative="1">
      <w:start w:val="1"/>
      <w:numFmt w:val="lowerLetter"/>
      <w:lvlText w:val="%2."/>
      <w:lvlJc w:val="left"/>
      <w:pPr>
        <w:ind w:left="1080" w:hanging="360"/>
      </w:pPr>
    </w:lvl>
    <w:lvl w:ilvl="2" w:tplc="E1261C6C" w:tentative="1">
      <w:start w:val="1"/>
      <w:numFmt w:val="lowerRoman"/>
      <w:lvlText w:val="%3."/>
      <w:lvlJc w:val="right"/>
      <w:pPr>
        <w:ind w:left="1800" w:hanging="180"/>
      </w:pPr>
    </w:lvl>
    <w:lvl w:ilvl="3" w:tplc="D0107C8A" w:tentative="1">
      <w:start w:val="1"/>
      <w:numFmt w:val="decimal"/>
      <w:lvlText w:val="%4."/>
      <w:lvlJc w:val="left"/>
      <w:pPr>
        <w:ind w:left="2520" w:hanging="360"/>
      </w:pPr>
    </w:lvl>
    <w:lvl w:ilvl="4" w:tplc="2C482B78" w:tentative="1">
      <w:start w:val="1"/>
      <w:numFmt w:val="lowerLetter"/>
      <w:lvlText w:val="%5."/>
      <w:lvlJc w:val="left"/>
      <w:pPr>
        <w:ind w:left="3240" w:hanging="360"/>
      </w:pPr>
    </w:lvl>
    <w:lvl w:ilvl="5" w:tplc="E7C4E26E" w:tentative="1">
      <w:start w:val="1"/>
      <w:numFmt w:val="lowerRoman"/>
      <w:lvlText w:val="%6."/>
      <w:lvlJc w:val="right"/>
      <w:pPr>
        <w:ind w:left="3960" w:hanging="180"/>
      </w:pPr>
    </w:lvl>
    <w:lvl w:ilvl="6" w:tplc="1BF26ACA" w:tentative="1">
      <w:start w:val="1"/>
      <w:numFmt w:val="decimal"/>
      <w:lvlText w:val="%7."/>
      <w:lvlJc w:val="left"/>
      <w:pPr>
        <w:ind w:left="4680" w:hanging="360"/>
      </w:pPr>
    </w:lvl>
    <w:lvl w:ilvl="7" w:tplc="27C6417C" w:tentative="1">
      <w:start w:val="1"/>
      <w:numFmt w:val="lowerLetter"/>
      <w:lvlText w:val="%8."/>
      <w:lvlJc w:val="left"/>
      <w:pPr>
        <w:ind w:left="5400" w:hanging="360"/>
      </w:pPr>
    </w:lvl>
    <w:lvl w:ilvl="8" w:tplc="A1500FA0" w:tentative="1">
      <w:start w:val="1"/>
      <w:numFmt w:val="lowerRoman"/>
      <w:lvlText w:val="%9."/>
      <w:lvlJc w:val="right"/>
      <w:pPr>
        <w:ind w:left="6120" w:hanging="180"/>
      </w:pPr>
    </w:lvl>
  </w:abstractNum>
  <w:abstractNum w:abstractNumId="4" w15:restartNumberingAfterBreak="0">
    <w:nsid w:val="42E353D7"/>
    <w:multiLevelType w:val="hybridMultilevel"/>
    <w:tmpl w:val="4EF6B53A"/>
    <w:lvl w:ilvl="0" w:tplc="A6AEFC08">
      <w:start w:val="1"/>
      <w:numFmt w:val="lowerLetter"/>
      <w:lvlText w:val="%1)"/>
      <w:lvlJc w:val="left"/>
      <w:pPr>
        <w:tabs>
          <w:tab w:val="num" w:pos="360"/>
        </w:tabs>
        <w:ind w:left="360" w:hanging="360"/>
      </w:pPr>
    </w:lvl>
    <w:lvl w:ilvl="1" w:tplc="6D70DAB0" w:tentative="1">
      <w:start w:val="1"/>
      <w:numFmt w:val="lowerLetter"/>
      <w:lvlText w:val="%2."/>
      <w:lvlJc w:val="left"/>
      <w:pPr>
        <w:tabs>
          <w:tab w:val="num" w:pos="1080"/>
        </w:tabs>
        <w:ind w:left="1080" w:hanging="360"/>
      </w:pPr>
    </w:lvl>
    <w:lvl w:ilvl="2" w:tplc="15F6C0E6" w:tentative="1">
      <w:start w:val="1"/>
      <w:numFmt w:val="lowerRoman"/>
      <w:lvlText w:val="%3."/>
      <w:lvlJc w:val="right"/>
      <w:pPr>
        <w:tabs>
          <w:tab w:val="num" w:pos="1800"/>
        </w:tabs>
        <w:ind w:left="1800" w:hanging="180"/>
      </w:pPr>
    </w:lvl>
    <w:lvl w:ilvl="3" w:tplc="B1467626" w:tentative="1">
      <w:start w:val="1"/>
      <w:numFmt w:val="decimal"/>
      <w:lvlText w:val="%4."/>
      <w:lvlJc w:val="left"/>
      <w:pPr>
        <w:tabs>
          <w:tab w:val="num" w:pos="2520"/>
        </w:tabs>
        <w:ind w:left="2520" w:hanging="360"/>
      </w:pPr>
    </w:lvl>
    <w:lvl w:ilvl="4" w:tplc="F420EFA4" w:tentative="1">
      <w:start w:val="1"/>
      <w:numFmt w:val="lowerLetter"/>
      <w:lvlText w:val="%5."/>
      <w:lvlJc w:val="left"/>
      <w:pPr>
        <w:tabs>
          <w:tab w:val="num" w:pos="3240"/>
        </w:tabs>
        <w:ind w:left="3240" w:hanging="360"/>
      </w:pPr>
    </w:lvl>
    <w:lvl w:ilvl="5" w:tplc="2996D316" w:tentative="1">
      <w:start w:val="1"/>
      <w:numFmt w:val="lowerRoman"/>
      <w:lvlText w:val="%6."/>
      <w:lvlJc w:val="right"/>
      <w:pPr>
        <w:tabs>
          <w:tab w:val="num" w:pos="3960"/>
        </w:tabs>
        <w:ind w:left="3960" w:hanging="180"/>
      </w:pPr>
    </w:lvl>
    <w:lvl w:ilvl="6" w:tplc="A9D618D4" w:tentative="1">
      <w:start w:val="1"/>
      <w:numFmt w:val="decimal"/>
      <w:lvlText w:val="%7."/>
      <w:lvlJc w:val="left"/>
      <w:pPr>
        <w:tabs>
          <w:tab w:val="num" w:pos="4680"/>
        </w:tabs>
        <w:ind w:left="4680" w:hanging="360"/>
      </w:pPr>
    </w:lvl>
    <w:lvl w:ilvl="7" w:tplc="BD3AFDBA" w:tentative="1">
      <w:start w:val="1"/>
      <w:numFmt w:val="lowerLetter"/>
      <w:lvlText w:val="%8."/>
      <w:lvlJc w:val="left"/>
      <w:pPr>
        <w:tabs>
          <w:tab w:val="num" w:pos="5400"/>
        </w:tabs>
        <w:ind w:left="5400" w:hanging="360"/>
      </w:pPr>
    </w:lvl>
    <w:lvl w:ilvl="8" w:tplc="51F0C8E2" w:tentative="1">
      <w:start w:val="1"/>
      <w:numFmt w:val="lowerRoman"/>
      <w:lvlText w:val="%9."/>
      <w:lvlJc w:val="right"/>
      <w:pPr>
        <w:tabs>
          <w:tab w:val="num" w:pos="6120"/>
        </w:tabs>
        <w:ind w:left="6120" w:hanging="180"/>
      </w:pPr>
    </w:lvl>
  </w:abstractNum>
  <w:abstractNum w:abstractNumId="5" w15:restartNumberingAfterBreak="0">
    <w:nsid w:val="4DE62D67"/>
    <w:multiLevelType w:val="hybridMultilevel"/>
    <w:tmpl w:val="3C6EB60A"/>
    <w:lvl w:ilvl="0" w:tplc="2D1C1372">
      <w:start w:val="1"/>
      <w:numFmt w:val="lowerLetter"/>
      <w:lvlText w:val="(%1)"/>
      <w:lvlJc w:val="left"/>
      <w:pPr>
        <w:ind w:left="1063" w:hanging="528"/>
      </w:pPr>
      <w:rPr>
        <w:rFonts w:hint="default"/>
      </w:rPr>
    </w:lvl>
    <w:lvl w:ilvl="1" w:tplc="4350C11A" w:tentative="1">
      <w:start w:val="1"/>
      <w:numFmt w:val="lowerLetter"/>
      <w:lvlText w:val="%2."/>
      <w:lvlJc w:val="left"/>
      <w:pPr>
        <w:ind w:left="1615" w:hanging="360"/>
      </w:pPr>
    </w:lvl>
    <w:lvl w:ilvl="2" w:tplc="B436F55E" w:tentative="1">
      <w:start w:val="1"/>
      <w:numFmt w:val="lowerRoman"/>
      <w:lvlText w:val="%3."/>
      <w:lvlJc w:val="right"/>
      <w:pPr>
        <w:ind w:left="2335" w:hanging="180"/>
      </w:pPr>
    </w:lvl>
    <w:lvl w:ilvl="3" w:tplc="A83EE290" w:tentative="1">
      <w:start w:val="1"/>
      <w:numFmt w:val="decimal"/>
      <w:lvlText w:val="%4."/>
      <w:lvlJc w:val="left"/>
      <w:pPr>
        <w:ind w:left="3055" w:hanging="360"/>
      </w:pPr>
    </w:lvl>
    <w:lvl w:ilvl="4" w:tplc="5B263308" w:tentative="1">
      <w:start w:val="1"/>
      <w:numFmt w:val="lowerLetter"/>
      <w:lvlText w:val="%5."/>
      <w:lvlJc w:val="left"/>
      <w:pPr>
        <w:ind w:left="3775" w:hanging="360"/>
      </w:pPr>
    </w:lvl>
    <w:lvl w:ilvl="5" w:tplc="2666A3CA" w:tentative="1">
      <w:start w:val="1"/>
      <w:numFmt w:val="lowerRoman"/>
      <w:lvlText w:val="%6."/>
      <w:lvlJc w:val="right"/>
      <w:pPr>
        <w:ind w:left="4495" w:hanging="180"/>
      </w:pPr>
    </w:lvl>
    <w:lvl w:ilvl="6" w:tplc="F8429086" w:tentative="1">
      <w:start w:val="1"/>
      <w:numFmt w:val="decimal"/>
      <w:lvlText w:val="%7."/>
      <w:lvlJc w:val="left"/>
      <w:pPr>
        <w:ind w:left="5215" w:hanging="360"/>
      </w:pPr>
    </w:lvl>
    <w:lvl w:ilvl="7" w:tplc="E76A9022" w:tentative="1">
      <w:start w:val="1"/>
      <w:numFmt w:val="lowerLetter"/>
      <w:lvlText w:val="%8."/>
      <w:lvlJc w:val="left"/>
      <w:pPr>
        <w:ind w:left="5935" w:hanging="360"/>
      </w:pPr>
    </w:lvl>
    <w:lvl w:ilvl="8" w:tplc="F7B6BDAC" w:tentative="1">
      <w:start w:val="1"/>
      <w:numFmt w:val="lowerRoman"/>
      <w:lvlText w:val="%9."/>
      <w:lvlJc w:val="right"/>
      <w:pPr>
        <w:ind w:left="6655"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5C"/>
    <w:rsid w:val="00250067"/>
    <w:rsid w:val="002643AC"/>
    <w:rsid w:val="002917E8"/>
    <w:rsid w:val="009A4F47"/>
    <w:rsid w:val="00D92A5C"/>
    <w:rsid w:val="00E820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3E3853-18AF-48F2-A3D3-C71C1DC5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F24D8"/>
    <w:pPr>
      <w:spacing w:after="200" w:line="300" w:lineRule="auto"/>
      <w:jc w:val="both"/>
    </w:pPr>
    <w:rPr>
      <w:rFonts w:ascii="Verdana" w:eastAsia="Times New Roman" w:hAnsi="Verdana"/>
      <w:color w:val="575757"/>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Lijstalinea">
    <w:name w:val="List Paragraph"/>
    <w:basedOn w:val="Standaard"/>
    <w:uiPriority w:val="34"/>
    <w:qFormat/>
    <w:rsid w:val="0095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1513</Words>
  <Characters>8324</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Correspondent</vt:lpstr>
      <vt:lpstr>Correspondent</vt:lpstr>
    </vt:vector>
  </TitlesOfParts>
  <Company>FAGG-AFMPS</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dc:title>
  <dc:creator>Drappier Céline</dc:creator>
  <cp:lastModifiedBy>Collin Jessica</cp:lastModifiedBy>
  <cp:revision>5</cp:revision>
  <cp:lastPrinted>2012-06-08T08:16:00Z</cp:lastPrinted>
  <dcterms:created xsi:type="dcterms:W3CDTF">2017-04-20T09:00:00Z</dcterms:created>
  <dcterms:modified xsi:type="dcterms:W3CDTF">2017-04-25T06:31:00Z</dcterms:modified>
</cp:coreProperties>
</file>