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24618B" w:rsidRPr="004C687D" w:rsidTr="00865711">
        <w:trPr>
          <w:trHeight w:val="1211"/>
        </w:trPr>
        <w:tc>
          <w:tcPr>
            <w:tcW w:w="5070" w:type="dxa"/>
          </w:tcPr>
          <w:p w:rsidR="00F6655B" w:rsidRPr="004C687D" w:rsidRDefault="00AF1DC7" w:rsidP="007F488E">
            <w:pPr>
              <w:pStyle w:val="Koptekst"/>
              <w:jc w:val="both"/>
              <w:rPr>
                <w:noProof/>
                <w:lang w:eastAsia="fr-BE"/>
              </w:rPr>
            </w:pPr>
            <w:r w:rsidRPr="004C687D">
              <w:rPr>
                <w:noProof/>
                <w:lang w:val="en-GB" w:eastAsia="en-GB"/>
              </w:rPr>
              <w:drawing>
                <wp:inline distT="0" distB="0" distL="0" distR="0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F6655B" w:rsidRPr="004C687D" w:rsidRDefault="00AF1DC7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</w:rPr>
            </w:pPr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>Agence fédérale des médicaments et des produits de santé</w:t>
            </w:r>
          </w:p>
          <w:p w:rsidR="00F6655B" w:rsidRPr="00DC46C3" w:rsidRDefault="00AF1DC7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DC46C3">
              <w:rPr>
                <w:rFonts w:cs="Calibri"/>
                <w:color w:val="729BC8"/>
                <w:sz w:val="14"/>
                <w:szCs w:val="14"/>
                <w:bdr w:val="nil"/>
                <w:lang w:val="nl-BE"/>
              </w:rPr>
              <w:t>Federaal agentschap voor geneesmiddelen en gezondheidsproducten</w:t>
            </w:r>
          </w:p>
          <w:p w:rsidR="00F6655B" w:rsidRPr="004C687D" w:rsidRDefault="00AF1DC7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>Eurostation</w:t>
            </w:r>
            <w:proofErr w:type="spellEnd"/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II – Place Victor </w:t>
            </w:r>
            <w:proofErr w:type="spellStart"/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>Hortaplein</w:t>
            </w:r>
            <w:proofErr w:type="spellEnd"/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40/40</w:t>
            </w:r>
          </w:p>
          <w:p w:rsidR="00F6655B" w:rsidRPr="004C687D" w:rsidRDefault="00AF1DC7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4C687D">
              <w:rPr>
                <w:rFonts w:cs="Calibri"/>
                <w:color w:val="729BC8"/>
                <w:sz w:val="14"/>
                <w:szCs w:val="14"/>
                <w:bdr w:val="nil"/>
              </w:rPr>
              <w:t>1060 Brussel-Bruxelles</w:t>
            </w:r>
          </w:p>
          <w:p w:rsidR="00F6655B" w:rsidRPr="004C687D" w:rsidRDefault="00AF1DC7" w:rsidP="007F488E">
            <w:pPr>
              <w:pStyle w:val="Koptekst"/>
              <w:spacing w:line="324" w:lineRule="auto"/>
              <w:ind w:left="175"/>
              <w:jc w:val="both"/>
            </w:pPr>
            <w:r w:rsidRPr="004C687D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:rsidR="00F6655B" w:rsidRPr="004C687D" w:rsidRDefault="00AF1DC7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  <w:r w:rsidRPr="004C687D">
        <w:rPr>
          <w:rFonts w:ascii="Calibri" w:hAnsi="Calibri" w:cs="Calibri"/>
          <w:color w:val="729BC8"/>
          <w:sz w:val="14"/>
          <w:szCs w:val="14"/>
          <w:bdr w:val="nil"/>
        </w:rPr>
        <w:t>Management Support</w:t>
      </w:r>
    </w:p>
    <w:p w:rsidR="00ED6546" w:rsidRPr="004C687D" w:rsidRDefault="003010C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24618B" w:rsidRPr="004C687D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:rsidR="00862395" w:rsidRPr="004C687D" w:rsidRDefault="00AF1DC7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</w:rPr>
            </w:pPr>
            <w:r w:rsidRPr="004C687D">
              <w:rPr>
                <w:rFonts w:eastAsia="Verdana" w:cs="Verdana"/>
                <w:b/>
                <w:color w:val="729BC8"/>
                <w:sz w:val="20"/>
                <w:szCs w:val="20"/>
                <w:bdr w:val="nil"/>
              </w:rPr>
              <w:t>COMITÉ DE TRANSPARENCE 72 – PROCÈS-VERBAL</w:t>
            </w:r>
            <w:r w:rsidRPr="004C687D">
              <w:rPr>
                <w:rFonts w:eastAsia="Verdana" w:cs="Verdana"/>
                <w:b/>
                <w:caps/>
                <w:color w:val="BDBDBD"/>
                <w:sz w:val="16"/>
                <w:szCs w:val="16"/>
                <w:bdr w:val="nil"/>
              </w:rPr>
              <w:t xml:space="preserve"> </w:t>
            </w:r>
          </w:p>
          <w:p w:rsidR="00F6655B" w:rsidRPr="004C687D" w:rsidRDefault="00AF1DC7" w:rsidP="00AD0A00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</w:rPr>
            </w:pPr>
            <w:r w:rsidRPr="004C687D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14.03.2018 – 8</w:t>
            </w:r>
            <w:r w:rsidRPr="004C687D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  <w:vertAlign w:val="superscript"/>
              </w:rPr>
              <w:t>E</w:t>
            </w:r>
            <w:r w:rsidRPr="004C687D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363– 10h</w:t>
            </w:r>
          </w:p>
        </w:tc>
      </w:tr>
    </w:tbl>
    <w:p w:rsidR="008E75E6" w:rsidRPr="004C687D" w:rsidRDefault="003010C6" w:rsidP="007F488E">
      <w:pPr>
        <w:spacing w:line="240" w:lineRule="auto"/>
        <w:ind w:right="-1"/>
        <w:rPr>
          <w:b/>
          <w:sz w:val="16"/>
          <w:szCs w:val="16"/>
        </w:rPr>
      </w:pPr>
    </w:p>
    <w:p w:rsidR="00BB6790" w:rsidRPr="004C687D" w:rsidRDefault="00AF1DC7" w:rsidP="007F488E">
      <w:pPr>
        <w:ind w:right="-1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95B3D7"/>
          <w:sz w:val="20"/>
          <w:szCs w:val="20"/>
          <w:bdr w:val="nil"/>
        </w:rPr>
        <w:t>1.</w:t>
      </w:r>
      <w:r w:rsidRPr="004C687D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Approbation de l’ordre du jour</w:t>
      </w:r>
    </w:p>
    <w:p w:rsidR="00E426C3" w:rsidRPr="004C687D" w:rsidRDefault="006D3DE9" w:rsidP="0097508B">
      <w:r>
        <w:rPr>
          <w:rFonts w:eastAsia="Verdana" w:cs="Verdana"/>
          <w:szCs w:val="18"/>
          <w:bdr w:val="nil"/>
        </w:rPr>
        <w:t>Un membre</w:t>
      </w:r>
      <w:r w:rsidR="00AF1DC7" w:rsidRPr="004C687D">
        <w:rPr>
          <w:rFonts w:eastAsia="Verdana" w:cs="Verdana"/>
          <w:szCs w:val="18"/>
          <w:bdr w:val="nil"/>
        </w:rPr>
        <w:t xml:space="preserve"> souhaite ajouter à l'ordre du jour l'évaluation des séances d'information relatives à la loi de financement. </w:t>
      </w:r>
    </w:p>
    <w:p w:rsidR="00F070C1" w:rsidRPr="004C687D" w:rsidRDefault="00AF1DC7" w:rsidP="00F070C1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4C687D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L'ordre du jour est approuvé en tenant compte des adaptations ci-dessus.</w:t>
      </w:r>
    </w:p>
    <w:p w:rsidR="00177B8A" w:rsidRPr="004C687D" w:rsidRDefault="00AF1DC7" w:rsidP="00F070C1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4C687D">
        <w:rPr>
          <w:rFonts w:ascii="Verdana" w:hAnsi="Verdana"/>
          <w:i/>
          <w:color w:val="595959" w:themeColor="text1" w:themeTint="A6"/>
          <w:sz w:val="18"/>
          <w:szCs w:val="18"/>
        </w:rPr>
        <w:t xml:space="preserve"> </w:t>
      </w:r>
    </w:p>
    <w:p w:rsidR="00742F2A" w:rsidRPr="004C687D" w:rsidRDefault="00AF1DC7" w:rsidP="007F488E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95B3D7"/>
          <w:sz w:val="20"/>
          <w:szCs w:val="20"/>
          <w:bdr w:val="nil"/>
        </w:rPr>
        <w:t>2.</w:t>
      </w:r>
      <w:r w:rsidRPr="004C687D">
        <w:rPr>
          <w:rFonts w:eastAsia="Verdana" w:cs="Verdana"/>
          <w:b/>
          <w:caps/>
          <w:color w:val="95B3D7"/>
          <w:sz w:val="20"/>
          <w:szCs w:val="20"/>
          <w:bdr w:val="nil"/>
        </w:rPr>
        <w:tab/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approbation du rapport de la réunion du 20.02.2018</w:t>
      </w:r>
    </w:p>
    <w:p w:rsidR="00464D69" w:rsidRPr="004C687D" w:rsidRDefault="00AF1DC7" w:rsidP="00071A99">
      <w:pPr>
        <w:spacing w:line="240" w:lineRule="auto"/>
        <w:rPr>
          <w:b/>
          <w:i/>
          <w:color w:val="595959" w:themeColor="text1" w:themeTint="A6"/>
          <w:szCs w:val="18"/>
        </w:rPr>
      </w:pPr>
      <w:r w:rsidRPr="004C687D">
        <w:rPr>
          <w:rFonts w:eastAsia="Verdana" w:cs="Verdana"/>
          <w:b/>
          <w:i/>
          <w:color w:val="595959"/>
          <w:szCs w:val="18"/>
          <w:bdr w:val="nil"/>
        </w:rPr>
        <w:t>Le rapport de la réunion du 20 février 2018</w:t>
      </w:r>
      <w:r w:rsidRPr="004C687D">
        <w:rPr>
          <w:rFonts w:eastAsia="Verdana" w:cs="Verdana"/>
          <w:szCs w:val="18"/>
          <w:bdr w:val="nil"/>
        </w:rPr>
        <w:t xml:space="preserve"> </w:t>
      </w:r>
      <w:r w:rsidRPr="004C687D">
        <w:rPr>
          <w:rFonts w:eastAsia="Verdana" w:cs="Verdana"/>
          <w:b/>
          <w:i/>
          <w:color w:val="595959"/>
          <w:szCs w:val="18"/>
          <w:bdr w:val="nil"/>
        </w:rPr>
        <w:t>est approuvé</w:t>
      </w:r>
      <w:r w:rsidRPr="004C687D">
        <w:rPr>
          <w:rFonts w:eastAsia="Verdana" w:cs="Verdana"/>
          <w:i/>
          <w:color w:val="595959"/>
          <w:szCs w:val="18"/>
          <w:bdr w:val="nil"/>
        </w:rPr>
        <w:t xml:space="preserve">. </w:t>
      </w:r>
    </w:p>
    <w:p w:rsidR="00BD33FF" w:rsidRPr="004C687D" w:rsidRDefault="003010C6" w:rsidP="00E426C3">
      <w:pPr>
        <w:ind w:right="-1"/>
        <w:rPr>
          <w:b/>
          <w:caps/>
          <w:color w:val="729BC8"/>
          <w:sz w:val="20"/>
          <w:szCs w:val="20"/>
        </w:rPr>
      </w:pPr>
    </w:p>
    <w:p w:rsidR="00BD33FF" w:rsidRPr="004C687D" w:rsidRDefault="00AF1DC7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3.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suivi points d’action réunion 20.02 :</w:t>
      </w:r>
    </w:p>
    <w:p w:rsidR="00BD33FF" w:rsidRPr="004C687D" w:rsidRDefault="00AF1DC7" w:rsidP="00BD33FF">
      <w:pPr>
        <w:ind w:right="-1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a/ projets transparence</w:t>
      </w:r>
    </w:p>
    <w:p w:rsidR="00836900" w:rsidRDefault="006D3DE9" w:rsidP="00836900">
      <w:pPr>
        <w:ind w:right="-1"/>
      </w:pPr>
      <w:r>
        <w:rPr>
          <w:rFonts w:eastAsia="Verdana" w:cs="Verdana"/>
          <w:szCs w:val="18"/>
          <w:bdr w:val="nil"/>
        </w:rPr>
        <w:t>Un</w:t>
      </w:r>
      <w:r w:rsidR="00AF1DC7" w:rsidRPr="004C687D">
        <w:rPr>
          <w:rFonts w:eastAsia="Verdana" w:cs="Verdana"/>
          <w:szCs w:val="18"/>
          <w:bdr w:val="nil"/>
        </w:rPr>
        <w:t xml:space="preserve"> aperçu de tous les projets auxquels l'AFMPS a travaillé en 2017</w:t>
      </w:r>
      <w:r>
        <w:rPr>
          <w:rFonts w:eastAsia="Verdana" w:cs="Verdana"/>
          <w:szCs w:val="18"/>
          <w:bdr w:val="nil"/>
        </w:rPr>
        <w:t xml:space="preserve"> est présenté</w:t>
      </w:r>
      <w:r w:rsidR="00AF1DC7" w:rsidRPr="004C687D">
        <w:rPr>
          <w:rFonts w:eastAsia="Verdana" w:cs="Verdana"/>
          <w:szCs w:val="18"/>
          <w:bdr w:val="nil"/>
        </w:rPr>
        <w:t xml:space="preserve">. </w:t>
      </w:r>
    </w:p>
    <w:p w:rsidR="006D3DE9" w:rsidRPr="006D3DE9" w:rsidRDefault="006D3DE9" w:rsidP="009E2513">
      <w:pPr>
        <w:spacing w:after="0"/>
        <w:ind w:right="-1"/>
      </w:pPr>
    </w:p>
    <w:p w:rsidR="00BD33FF" w:rsidRPr="00DC46C3" w:rsidRDefault="00AF1DC7" w:rsidP="00BD33FF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DC46C3">
        <w:rPr>
          <w:rFonts w:eastAsia="Verdana" w:cs="Verdana"/>
          <w:b/>
          <w:caps/>
          <w:color w:val="729BC8"/>
          <w:sz w:val="20"/>
          <w:szCs w:val="20"/>
          <w:bdr w:val="nil"/>
          <w:lang w:val="nl-BE"/>
        </w:rPr>
        <w:t>B/ détachés services de soutien</w:t>
      </w:r>
    </w:p>
    <w:p w:rsidR="00BD33FF" w:rsidRPr="004C687D" w:rsidRDefault="006D3DE9" w:rsidP="00BD33FF">
      <w:pPr>
        <w:ind w:right="-1"/>
      </w:pP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parcourt les slides qui ont préalablement été transmises aux membres. Il s'agit du suivi de la question qui a été posée lors de la dernière réunion, plus précisément de savoir si les détachés des services de soutien se trouvent également dans le fonds opérationnel (le buffer).</w:t>
      </w:r>
    </w:p>
    <w:p w:rsidR="00A81A67" w:rsidRDefault="00AF1DC7" w:rsidP="00BD33FF">
      <w:pPr>
        <w:ind w:right="-1"/>
        <w:rPr>
          <w:rFonts w:eastAsia="Verdana" w:cs="Verdana"/>
          <w:szCs w:val="18"/>
          <w:bdr w:val="nil"/>
        </w:rPr>
      </w:pPr>
      <w:r w:rsidRPr="004C687D">
        <w:rPr>
          <w:rFonts w:eastAsia="Verdana" w:cs="Verdana"/>
          <w:szCs w:val="18"/>
          <w:bdr w:val="nil"/>
        </w:rPr>
        <w:t xml:space="preserve">La conclusion indique que les détachés se trouvent pour 2018 dans le buffer. L'AFMPS a également constaté </w:t>
      </w:r>
      <w:r w:rsidR="000407B8">
        <w:rPr>
          <w:rFonts w:eastAsia="Verdana" w:cs="Verdana"/>
          <w:szCs w:val="18"/>
          <w:bdr w:val="nil"/>
        </w:rPr>
        <w:t>que</w:t>
      </w:r>
      <w:r w:rsidRPr="004C687D">
        <w:rPr>
          <w:rFonts w:eastAsia="Verdana" w:cs="Verdana"/>
          <w:szCs w:val="18"/>
          <w:bdr w:val="nil"/>
        </w:rPr>
        <w:t xml:space="preserve"> le nombre d'ETP prévu pour le renforcement des services de soutien au budget 2017 n'est pas repris dans son ensemble au budget 2018. </w:t>
      </w:r>
    </w:p>
    <w:p w:rsidR="006E1989" w:rsidRPr="004C687D" w:rsidRDefault="00AF1DC7" w:rsidP="006E1989">
      <w:pPr>
        <w:ind w:right="-1"/>
      </w:pPr>
      <w:r w:rsidRPr="004C687D">
        <w:rPr>
          <w:rFonts w:eastAsia="Verdana" w:cs="Verdana"/>
          <w:szCs w:val="18"/>
          <w:bdr w:val="nil"/>
        </w:rPr>
        <w:t xml:space="preserve">La présidente constate qu'il est très difficile à comprendre que ce problème ait pu avoir lieu. Cela sera de nouveau abordé lors des discussions budgétaires. Elle insiste toutefois pour que l'on se renseigne à ce sujet aussi bien auprès de Deloitte que de l'IF. </w:t>
      </w:r>
    </w:p>
    <w:p w:rsidR="001C6397" w:rsidRDefault="009E2513" w:rsidP="00BD33FF">
      <w:pPr>
        <w:ind w:right="-1"/>
        <w:rPr>
          <w:rFonts w:eastAsia="Verdana" w:cs="Verdana"/>
          <w:szCs w:val="18"/>
          <w:bdr w:val="nil"/>
        </w:rPr>
      </w:pP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insiste sur le court laps de temps dans lequel l'exercice ZBB devra être effectué.  L'AFMPS recueillera les avis demandés mais souligne que cela est à la charge de l'équipe qui prépare le budget 2019-2020. Il faut s'attendre à ce </w:t>
      </w:r>
      <w:r w:rsidR="00FF56BF" w:rsidRPr="004C687D">
        <w:rPr>
          <w:rFonts w:eastAsia="Verdana" w:cs="Verdana"/>
          <w:szCs w:val="18"/>
          <w:bdr w:val="nil"/>
        </w:rPr>
        <w:t>qu’aussi</w:t>
      </w:r>
      <w:r w:rsidR="00AF1DC7" w:rsidRPr="004C687D">
        <w:rPr>
          <w:rFonts w:eastAsia="Verdana" w:cs="Verdana"/>
          <w:szCs w:val="18"/>
          <w:bdr w:val="nil"/>
        </w:rPr>
        <w:t xml:space="preserve"> bien Deloitte que l'IF posent des questions supplémentaires et/ou souhaitent organiser une concertation ; cela se fera au détriment du temps qui peut être consacré au budget. </w:t>
      </w:r>
    </w:p>
    <w:p w:rsidR="009E2513" w:rsidRPr="004C687D" w:rsidRDefault="009E2513" w:rsidP="00BD33FF">
      <w:pPr>
        <w:ind w:right="-1"/>
      </w:pPr>
    </w:p>
    <w:p w:rsidR="00BD33FF" w:rsidRPr="00AB0754" w:rsidRDefault="00AF1DC7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AB0754">
        <w:rPr>
          <w:rFonts w:eastAsia="Verdana" w:cs="Verdana"/>
          <w:b/>
          <w:caps/>
          <w:color w:val="729BC8"/>
          <w:sz w:val="20"/>
          <w:szCs w:val="20"/>
          <w:bdr w:val="nil"/>
        </w:rPr>
        <w:lastRenderedPageBreak/>
        <w:t>4.</w:t>
      </w:r>
      <w:r w:rsidRPr="00AB0754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préparation budget 2019-2020 : Tarifs</w:t>
      </w:r>
    </w:p>
    <w:p w:rsidR="00BD33FF" w:rsidRPr="004C687D" w:rsidRDefault="00AB0754" w:rsidP="00BD33FF">
      <w:pPr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présente les slides relatifs aux tarifs qui, avec les volumes estimés, seront introduits dans la machine budgétaire pour le calcul du budget.</w:t>
      </w:r>
    </w:p>
    <w:p w:rsidR="00BD33FF" w:rsidRPr="004C687D" w:rsidRDefault="003010C6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BD33FF" w:rsidRPr="004C687D" w:rsidRDefault="00AF1DC7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 xml:space="preserve">5. </w:t>
      </w:r>
      <w:r w:rsidRPr="004C687D">
        <w:rPr>
          <w:rFonts w:eastAsia="Verdana" w:cs="Verdana"/>
          <w:b/>
          <w:caps/>
          <w:color w:val="FF0000"/>
          <w:sz w:val="20"/>
          <w:szCs w:val="20"/>
          <w:bdr w:val="nil"/>
        </w:rPr>
        <w:tab/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plan opérationnel 2018-2019 avec priorités ministre 2018</w:t>
      </w:r>
    </w:p>
    <w:p w:rsidR="00BD33FF" w:rsidRPr="004C687D" w:rsidRDefault="00AB0754" w:rsidP="003C2982">
      <w:pPr>
        <w:rPr>
          <w:szCs w:val="18"/>
        </w:rPr>
      </w:pPr>
      <w:r>
        <w:rPr>
          <w:rFonts w:eastAsia="Verdana" w:cs="Verdana"/>
          <w:szCs w:val="18"/>
          <w:bdr w:val="nil"/>
        </w:rPr>
        <w:t>L</w:t>
      </w:r>
      <w:r w:rsidR="00AF1DC7" w:rsidRPr="004C687D">
        <w:rPr>
          <w:rFonts w:eastAsia="Verdana" w:cs="Verdana"/>
          <w:szCs w:val="18"/>
          <w:bdr w:val="nil"/>
        </w:rPr>
        <w:t xml:space="preserve">es membres ont reçu d'une part la liste des priorités de la Ministre pour l'AFMPS pour 2018 et d'autre part le plan opérationnel 2018-2019, dans lequel sont intégrées les priorités indiquées ci-dessus. </w:t>
      </w:r>
    </w:p>
    <w:p w:rsidR="003C2982" w:rsidRPr="004C687D" w:rsidRDefault="00AF1DC7" w:rsidP="003C2982">
      <w:pPr>
        <w:rPr>
          <w:szCs w:val="18"/>
        </w:rPr>
      </w:pPr>
      <w:r w:rsidRPr="004C687D">
        <w:rPr>
          <w:rFonts w:eastAsia="Verdana" w:cs="Verdana"/>
          <w:szCs w:val="18"/>
          <w:bdr w:val="nil"/>
        </w:rPr>
        <w:t xml:space="preserve">La liste est relativement longue, bien que certains projets </w:t>
      </w:r>
      <w:r w:rsidR="00FF56BF" w:rsidRPr="004C687D">
        <w:rPr>
          <w:rFonts w:eastAsia="Verdana" w:cs="Verdana"/>
          <w:szCs w:val="18"/>
          <w:bdr w:val="nil"/>
        </w:rPr>
        <w:t>soient</w:t>
      </w:r>
      <w:r w:rsidRPr="004C687D">
        <w:rPr>
          <w:rFonts w:eastAsia="Verdana" w:cs="Verdana"/>
          <w:szCs w:val="18"/>
          <w:bdr w:val="nil"/>
        </w:rPr>
        <w:t xml:space="preserve"> prévus depuis longtemps.  L'ambition de l'AFMPS est néanmoins de réaliser tous les objectifs à 100%. Les objectifs qui ne sont pas indiqués comme prioritaires pour la ministre ne sont pas moins importants mais les priorités de la ministre p</w:t>
      </w:r>
      <w:r w:rsidR="00FF56BF">
        <w:rPr>
          <w:rFonts w:eastAsia="Verdana" w:cs="Verdana"/>
          <w:szCs w:val="18"/>
          <w:bdr w:val="nil"/>
        </w:rPr>
        <w:t>a</w:t>
      </w:r>
      <w:r w:rsidRPr="004C687D">
        <w:rPr>
          <w:rFonts w:eastAsia="Verdana" w:cs="Verdana"/>
          <w:szCs w:val="18"/>
          <w:bdr w:val="nil"/>
        </w:rPr>
        <w:t xml:space="preserve">sseront avant. </w:t>
      </w:r>
    </w:p>
    <w:p w:rsidR="006866EF" w:rsidRPr="004C687D" w:rsidRDefault="003010C6" w:rsidP="00E1254F">
      <w:pPr>
        <w:rPr>
          <w:szCs w:val="18"/>
        </w:rPr>
      </w:pPr>
    </w:p>
    <w:p w:rsidR="00BD33FF" w:rsidRPr="004C687D" w:rsidRDefault="00AF1DC7" w:rsidP="00BD33FF">
      <w:pPr>
        <w:ind w:left="708" w:hanging="696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6.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Suggesti</w:t>
      </w:r>
      <w:r w:rsidR="00A038F5">
        <w:rPr>
          <w:rFonts w:eastAsia="Verdana" w:cs="Verdana"/>
          <w:b/>
          <w:caps/>
          <w:color w:val="729BC8"/>
          <w:sz w:val="20"/>
          <w:szCs w:val="20"/>
          <w:bdr w:val="nil"/>
        </w:rPr>
        <w:t>ons du c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 xml:space="preserve">omité </w:t>
      </w:r>
      <w:r w:rsidR="00A038F5">
        <w:rPr>
          <w:rFonts w:eastAsia="Verdana" w:cs="Verdana"/>
          <w:b/>
          <w:caps/>
          <w:color w:val="729BC8"/>
          <w:sz w:val="20"/>
          <w:szCs w:val="20"/>
          <w:bdr w:val="nil"/>
        </w:rPr>
        <w:t>d’audit en matière de qualité au sein de l’afmps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 xml:space="preserve"> </w:t>
      </w:r>
    </w:p>
    <w:p w:rsidR="00E1254F" w:rsidRPr="004C687D" w:rsidRDefault="00A038F5" w:rsidP="00BD33FF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Le p</w:t>
      </w:r>
      <w:r w:rsidR="00AF1DC7" w:rsidRPr="004C687D">
        <w:rPr>
          <w:rFonts w:eastAsia="Verdana" w:cs="Verdana"/>
          <w:szCs w:val="18"/>
          <w:bdr w:val="nil"/>
        </w:rPr>
        <w:t>résident du Comité d'audit présente sa</w:t>
      </w:r>
      <w:r w:rsidR="00FF56BF">
        <w:rPr>
          <w:rFonts w:eastAsia="Verdana" w:cs="Verdana"/>
          <w:szCs w:val="18"/>
          <w:bdr w:val="nil"/>
        </w:rPr>
        <w:t xml:space="preserve"> note qui, malgré l'indication « pour décision »</w:t>
      </w:r>
      <w:r w:rsidR="00AF1DC7" w:rsidRPr="004C687D">
        <w:rPr>
          <w:rFonts w:eastAsia="Verdana" w:cs="Verdana"/>
          <w:szCs w:val="18"/>
          <w:bdr w:val="nil"/>
        </w:rPr>
        <w:t xml:space="preserve"> sur la note, n'est pas soumise au comité dans ce but. Il s'agit de suggestions du Comité d'audit qui sont communiquées à l'AFMPS à titre informatif. </w:t>
      </w:r>
    </w:p>
    <w:p w:rsidR="00BD33FF" w:rsidRPr="004C687D" w:rsidRDefault="00A038F5" w:rsidP="00BD33FF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estime que les pistes proposées sont intéressantes et les envisagera. Il sera ensuite communiqué au Comité de transparence quelles actions seront entreprises et avec quel timing. </w:t>
      </w:r>
    </w:p>
    <w:p w:rsidR="00BD6DB7" w:rsidRPr="004C687D" w:rsidRDefault="003010C6" w:rsidP="00BD33FF">
      <w:pPr>
        <w:ind w:right="-1"/>
        <w:rPr>
          <w:szCs w:val="18"/>
        </w:rPr>
      </w:pPr>
    </w:p>
    <w:p w:rsidR="00BD33FF" w:rsidRPr="004C687D" w:rsidRDefault="00AF1DC7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 xml:space="preserve">7. 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loi de financement: état des lieux </w:t>
      </w:r>
    </w:p>
    <w:p w:rsidR="00F561E5" w:rsidRPr="004C687D" w:rsidRDefault="00A038F5" w:rsidP="00F561E5">
      <w:pPr>
        <w:ind w:left="708" w:right="-1" w:hanging="708"/>
        <w:rPr>
          <w:szCs w:val="18"/>
        </w:rPr>
      </w:pPr>
      <w:r>
        <w:rPr>
          <w:rFonts w:eastAsia="Verdana" w:cs="Verdana"/>
          <w:szCs w:val="18"/>
          <w:bdr w:val="nil"/>
        </w:rPr>
        <w:t>Il est communiqué que</w:t>
      </w:r>
      <w:r w:rsidR="00AF1DC7" w:rsidRPr="004C687D">
        <w:rPr>
          <w:rFonts w:eastAsia="Verdana" w:cs="Verdana"/>
          <w:szCs w:val="18"/>
          <w:bdr w:val="nil"/>
        </w:rPr>
        <w:t xml:space="preserve"> le Roi a publié la loi le 11 mars 2018. </w:t>
      </w:r>
    </w:p>
    <w:p w:rsidR="00EC2515" w:rsidRPr="004C687D" w:rsidRDefault="00AF1DC7" w:rsidP="00EC2515">
      <w:pPr>
        <w:ind w:right="-1"/>
        <w:rPr>
          <w:szCs w:val="18"/>
        </w:rPr>
      </w:pPr>
      <w:r w:rsidRPr="004C687D">
        <w:rPr>
          <w:rFonts w:eastAsia="Verdana" w:cs="Verdana"/>
          <w:szCs w:val="18"/>
          <w:bdr w:val="nil"/>
        </w:rPr>
        <w:t xml:space="preserve">À la demande </w:t>
      </w:r>
      <w:r w:rsidR="00292D2B">
        <w:rPr>
          <w:rFonts w:eastAsia="Verdana" w:cs="Verdana"/>
          <w:szCs w:val="18"/>
          <w:bdr w:val="nil"/>
        </w:rPr>
        <w:t>d’un membre</w:t>
      </w:r>
      <w:r w:rsidRPr="004C687D">
        <w:rPr>
          <w:rFonts w:eastAsia="Verdana" w:cs="Verdana"/>
          <w:szCs w:val="18"/>
          <w:bdr w:val="nil"/>
        </w:rPr>
        <w:t xml:space="preserve">, </w:t>
      </w:r>
      <w:r w:rsidR="00292D2B">
        <w:rPr>
          <w:rFonts w:eastAsia="Verdana" w:cs="Verdana"/>
          <w:szCs w:val="18"/>
          <w:bdr w:val="nil"/>
        </w:rPr>
        <w:t>l’AFMPS</w:t>
      </w:r>
      <w:r w:rsidRPr="004C687D">
        <w:rPr>
          <w:rFonts w:eastAsia="Verdana" w:cs="Verdana"/>
          <w:szCs w:val="18"/>
          <w:bdr w:val="nil"/>
        </w:rPr>
        <w:t xml:space="preserve"> présente les résultats de l'enquête de satisfaction remplie par 28 des 135 participants aux séances d'information relatives à la loi de financement :</w:t>
      </w:r>
    </w:p>
    <w:tbl>
      <w:tblPr>
        <w:tblpPr w:leftFromText="180" w:rightFromText="180" w:vertAnchor="page" w:horzAnchor="margin" w:tblpY="4549"/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134"/>
        <w:gridCol w:w="1276"/>
        <w:gridCol w:w="1276"/>
        <w:gridCol w:w="1417"/>
      </w:tblGrid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iCs/>
                <w:color w:val="000000"/>
                <w:szCs w:val="18"/>
                <w:bdr w:val="nil"/>
                <w:lang w:eastAsia="en-GB"/>
              </w:rPr>
              <w:t>Mauvais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iCs/>
                <w:color w:val="000000"/>
                <w:szCs w:val="18"/>
                <w:bdr w:val="nil"/>
                <w:lang w:eastAsia="en-GB"/>
              </w:rPr>
              <w:t>Moyen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iCs/>
                <w:color w:val="000000"/>
                <w:szCs w:val="18"/>
                <w:bdr w:val="nil"/>
                <w:lang w:eastAsia="en-GB"/>
              </w:rPr>
              <w:t>Bien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iCs/>
                <w:color w:val="000000"/>
                <w:szCs w:val="18"/>
                <w:bdr w:val="nil"/>
                <w:lang w:eastAsia="en-GB"/>
              </w:rPr>
              <w:t>Excellent</w:t>
            </w:r>
          </w:p>
        </w:tc>
      </w:tr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 xml:space="preserve">Organisation générale 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93%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7%</w:t>
            </w:r>
          </w:p>
        </w:tc>
      </w:tr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Lieu du symposium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4%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32%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54%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11%</w:t>
            </w:r>
          </w:p>
        </w:tc>
      </w:tr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Contenu de la présentation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15%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73%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12%</w:t>
            </w:r>
          </w:p>
        </w:tc>
      </w:tr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Expertise des intervenants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20%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56%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24%</w:t>
            </w:r>
          </w:p>
        </w:tc>
      </w:tr>
      <w:tr w:rsidR="00D140FF" w:rsidRPr="004C687D" w:rsidTr="00D140FF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Durée de la présentation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4%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83%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13%</w:t>
            </w:r>
          </w:p>
        </w:tc>
      </w:tr>
      <w:tr w:rsidR="00D140FF" w:rsidRPr="004C687D" w:rsidTr="00D140FF">
        <w:trPr>
          <w:trHeight w:val="560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40FF" w:rsidRPr="004C687D" w:rsidRDefault="00D140FF" w:rsidP="00D140FF">
            <w:pPr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Pertinence et utilité des présentations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11%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74%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40FF" w:rsidRPr="004C687D" w:rsidRDefault="00D140FF" w:rsidP="00D140FF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4C687D">
              <w:rPr>
                <w:rFonts w:eastAsia="Verdana" w:cs="Verdana"/>
                <w:color w:val="000000"/>
                <w:szCs w:val="18"/>
                <w:bdr w:val="nil"/>
                <w:lang w:eastAsia="en-GB"/>
              </w:rPr>
              <w:t>15%</w:t>
            </w:r>
          </w:p>
        </w:tc>
      </w:tr>
    </w:tbl>
    <w:p w:rsidR="00B91251" w:rsidRDefault="003010C6" w:rsidP="00D140FF">
      <w:pPr>
        <w:ind w:right="-1"/>
        <w:rPr>
          <w:szCs w:val="18"/>
        </w:rPr>
      </w:pPr>
    </w:p>
    <w:tbl>
      <w:tblPr>
        <w:tblpPr w:leftFromText="180" w:rightFromText="180" w:vertAnchor="page" w:horzAnchor="margin" w:tblpXSpec="center" w:tblpY="4513"/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134"/>
        <w:gridCol w:w="1276"/>
        <w:gridCol w:w="1276"/>
        <w:gridCol w:w="1417"/>
      </w:tblGrid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F561E5" w:rsidRDefault="00292D2B" w:rsidP="00B602CD">
            <w:pPr>
              <w:rPr>
                <w:color w:val="000000"/>
                <w:szCs w:val="18"/>
                <w:lang w:val="nl-BE" w:eastAsia="en-GB"/>
              </w:rPr>
            </w:pPr>
            <w:r w:rsidRPr="00F561E5">
              <w:rPr>
                <w:color w:val="000000"/>
                <w:szCs w:val="18"/>
                <w:lang w:val="nl-BE" w:eastAsia="en-GB"/>
              </w:rPr>
              <w:lastRenderedPageBreak/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iCs/>
                <w:color w:val="000000"/>
                <w:szCs w:val="18"/>
                <w:lang w:eastAsia="en-GB"/>
              </w:rPr>
              <w:t>Slecht</w:t>
            </w:r>
            <w:proofErr w:type="spellEnd"/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iCs/>
                <w:color w:val="000000"/>
                <w:szCs w:val="18"/>
                <w:lang w:eastAsia="en-GB"/>
              </w:rPr>
              <w:t>Matig</w:t>
            </w:r>
            <w:proofErr w:type="spellEnd"/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iCs/>
                <w:color w:val="000000"/>
                <w:szCs w:val="18"/>
                <w:lang w:eastAsia="en-GB"/>
              </w:rPr>
              <w:t>Goed</w:t>
            </w:r>
            <w:proofErr w:type="spellEnd"/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jc w:val="center"/>
              <w:rPr>
                <w:iCs/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iCs/>
                <w:color w:val="000000"/>
                <w:szCs w:val="18"/>
                <w:lang w:eastAsia="en-GB"/>
              </w:rPr>
              <w:t>Uitstekend</w:t>
            </w:r>
            <w:proofErr w:type="spellEnd"/>
          </w:p>
        </w:tc>
      </w:tr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color w:val="000000"/>
                <w:szCs w:val="18"/>
                <w:lang w:eastAsia="en-GB"/>
              </w:rPr>
              <w:t>Algemene</w:t>
            </w:r>
            <w:proofErr w:type="spellEnd"/>
            <w:r w:rsidRPr="00EC2515">
              <w:rPr>
                <w:color w:val="000000"/>
                <w:szCs w:val="18"/>
                <w:lang w:eastAsia="en-GB"/>
              </w:rPr>
              <w:t xml:space="preserve"> </w:t>
            </w:r>
            <w:proofErr w:type="spellStart"/>
            <w:r w:rsidRPr="00EC2515">
              <w:rPr>
                <w:color w:val="000000"/>
                <w:szCs w:val="18"/>
                <w:lang w:eastAsia="en-GB"/>
              </w:rPr>
              <w:t>organisatie</w:t>
            </w:r>
            <w:proofErr w:type="spellEnd"/>
            <w:r w:rsidRPr="00EC2515">
              <w:rPr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93%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7%</w:t>
            </w:r>
          </w:p>
        </w:tc>
      </w:tr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color w:val="000000"/>
                <w:szCs w:val="18"/>
                <w:lang w:eastAsia="en-GB"/>
              </w:rPr>
              <w:t>Locatie</w:t>
            </w:r>
            <w:proofErr w:type="spellEnd"/>
            <w:r w:rsidRPr="00EC2515">
              <w:rPr>
                <w:color w:val="000000"/>
                <w:szCs w:val="18"/>
                <w:lang w:eastAsia="en-GB"/>
              </w:rPr>
              <w:t xml:space="preserve"> van het symposium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4%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32%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54%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11%</w:t>
            </w:r>
          </w:p>
        </w:tc>
      </w:tr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color w:val="000000"/>
                <w:szCs w:val="18"/>
                <w:lang w:eastAsia="en-GB"/>
              </w:rPr>
              <w:t>Inhoud</w:t>
            </w:r>
            <w:proofErr w:type="spellEnd"/>
            <w:r w:rsidRPr="00EC2515">
              <w:rPr>
                <w:color w:val="000000"/>
                <w:szCs w:val="18"/>
                <w:lang w:eastAsia="en-GB"/>
              </w:rPr>
              <w:t xml:space="preserve"> van de </w:t>
            </w:r>
            <w:proofErr w:type="spellStart"/>
            <w:r w:rsidRPr="00EC2515">
              <w:rPr>
                <w:color w:val="000000"/>
                <w:szCs w:val="18"/>
                <w:lang w:eastAsia="en-GB"/>
              </w:rPr>
              <w:t>presentatie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15%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73%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12%</w:t>
            </w:r>
          </w:p>
        </w:tc>
      </w:tr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 xml:space="preserve">Expertise van de </w:t>
            </w:r>
            <w:proofErr w:type="spellStart"/>
            <w:r w:rsidRPr="00EC2515">
              <w:rPr>
                <w:color w:val="000000"/>
                <w:szCs w:val="18"/>
                <w:lang w:eastAsia="en-GB"/>
              </w:rPr>
              <w:t>sprekers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20%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56%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24%</w:t>
            </w:r>
          </w:p>
        </w:tc>
      </w:tr>
      <w:tr w:rsidR="00292D2B" w:rsidTr="00B602CD">
        <w:trPr>
          <w:trHeight w:val="236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eastAsia="en-GB"/>
              </w:rPr>
            </w:pPr>
            <w:proofErr w:type="spellStart"/>
            <w:r w:rsidRPr="00EC2515">
              <w:rPr>
                <w:color w:val="000000"/>
                <w:szCs w:val="18"/>
                <w:lang w:eastAsia="en-GB"/>
              </w:rPr>
              <w:t>Duur</w:t>
            </w:r>
            <w:proofErr w:type="spellEnd"/>
            <w:r w:rsidRPr="00EC2515">
              <w:rPr>
                <w:color w:val="000000"/>
                <w:szCs w:val="18"/>
                <w:lang w:eastAsia="en-GB"/>
              </w:rPr>
              <w:t xml:space="preserve"> van de </w:t>
            </w:r>
            <w:proofErr w:type="spellStart"/>
            <w:r w:rsidRPr="00EC2515">
              <w:rPr>
                <w:color w:val="000000"/>
                <w:szCs w:val="18"/>
                <w:lang w:eastAsia="en-GB"/>
              </w:rPr>
              <w:t>presentatie</w:t>
            </w:r>
            <w:proofErr w:type="spellEnd"/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4%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83%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13%</w:t>
            </w:r>
          </w:p>
        </w:tc>
      </w:tr>
      <w:tr w:rsidR="00292D2B" w:rsidTr="00B602CD">
        <w:trPr>
          <w:trHeight w:val="560"/>
        </w:trPr>
        <w:tc>
          <w:tcPr>
            <w:tcW w:w="28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2D2B" w:rsidRPr="00EC2515" w:rsidRDefault="00292D2B" w:rsidP="00B602CD">
            <w:pPr>
              <w:rPr>
                <w:color w:val="000000"/>
                <w:szCs w:val="18"/>
                <w:lang w:val="nl-NL" w:eastAsia="en-GB"/>
              </w:rPr>
            </w:pPr>
            <w:r w:rsidRPr="00EC2515">
              <w:rPr>
                <w:color w:val="000000"/>
                <w:szCs w:val="18"/>
                <w:lang w:val="nl-NL" w:eastAsia="en-GB"/>
              </w:rPr>
              <w:t>Relevantie en bruikbaarheid van de presentaties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val="nl-NL" w:eastAsia="en-GB"/>
              </w:rPr>
            </w:pPr>
            <w:r w:rsidRPr="00EC2515">
              <w:rPr>
                <w:color w:val="000000"/>
                <w:szCs w:val="18"/>
                <w:lang w:val="nl-NL" w:eastAsia="en-GB"/>
              </w:rPr>
              <w:t> 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11%</w:t>
            </w: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74%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2B" w:rsidRPr="00EC2515" w:rsidRDefault="00292D2B" w:rsidP="00B602CD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EC2515">
              <w:rPr>
                <w:color w:val="000000"/>
                <w:szCs w:val="18"/>
                <w:lang w:eastAsia="en-GB"/>
              </w:rPr>
              <w:t>15%</w:t>
            </w:r>
          </w:p>
        </w:tc>
      </w:tr>
    </w:tbl>
    <w:p w:rsidR="00D140FF" w:rsidRDefault="00D140FF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292D2B" w:rsidRDefault="00292D2B" w:rsidP="00D140FF">
      <w:pPr>
        <w:ind w:right="-1"/>
        <w:rPr>
          <w:szCs w:val="18"/>
        </w:rPr>
      </w:pPr>
    </w:p>
    <w:p w:rsidR="00D140FF" w:rsidRDefault="00D140FF" w:rsidP="00D140FF">
      <w:pPr>
        <w:ind w:right="-1"/>
        <w:rPr>
          <w:szCs w:val="18"/>
        </w:rPr>
      </w:pPr>
    </w:p>
    <w:p w:rsidR="00D140FF" w:rsidRDefault="00D140FF" w:rsidP="00D140FF">
      <w:pPr>
        <w:ind w:right="-1"/>
        <w:rPr>
          <w:szCs w:val="18"/>
        </w:rPr>
      </w:pPr>
    </w:p>
    <w:p w:rsidR="00D140FF" w:rsidRDefault="00D140FF" w:rsidP="00D140FF">
      <w:pPr>
        <w:ind w:right="-1"/>
        <w:rPr>
          <w:szCs w:val="18"/>
        </w:rPr>
      </w:pPr>
    </w:p>
    <w:p w:rsidR="00D140FF" w:rsidRPr="004C687D" w:rsidRDefault="00D140FF" w:rsidP="00D140FF">
      <w:pPr>
        <w:ind w:right="-1"/>
        <w:rPr>
          <w:szCs w:val="18"/>
        </w:rPr>
      </w:pPr>
    </w:p>
    <w:p w:rsidR="00B91251" w:rsidRPr="004C687D" w:rsidRDefault="003010C6" w:rsidP="00BD33FF">
      <w:pPr>
        <w:ind w:left="708" w:right="-1" w:hanging="708"/>
        <w:rPr>
          <w:szCs w:val="18"/>
        </w:rPr>
      </w:pPr>
    </w:p>
    <w:p w:rsidR="00B91251" w:rsidRPr="004C687D" w:rsidRDefault="003010C6" w:rsidP="00BD33FF">
      <w:pPr>
        <w:ind w:left="708" w:right="-1" w:hanging="708"/>
        <w:rPr>
          <w:szCs w:val="18"/>
        </w:rPr>
      </w:pPr>
    </w:p>
    <w:p w:rsidR="00B91251" w:rsidRPr="004C687D" w:rsidRDefault="003010C6" w:rsidP="00BD33FF">
      <w:pPr>
        <w:ind w:left="708" w:right="-1" w:hanging="708"/>
        <w:rPr>
          <w:szCs w:val="18"/>
        </w:rPr>
      </w:pPr>
    </w:p>
    <w:p w:rsidR="00B91251" w:rsidRPr="004C687D" w:rsidRDefault="00AF1DC7" w:rsidP="00235BD4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 xml:space="preserve">Il en </w:t>
      </w:r>
      <w:r w:rsidRPr="004C687D">
        <w:rPr>
          <w:rFonts w:eastAsia="Verdana" w:cs="Verdana"/>
          <w:szCs w:val="18"/>
          <w:bdr w:val="nil"/>
        </w:rPr>
        <w:t>ressort que le lieu n'a pas été apprécié. De plus, tout le monde n'était pas satisfait du fait que plusieurs questions n'ont pu immédiatement recevoir de réponse.</w:t>
      </w:r>
    </w:p>
    <w:p w:rsidR="00ED63BE" w:rsidRPr="004C687D" w:rsidRDefault="00292D2B" w:rsidP="00ED63BE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 xml:space="preserve">Les </w:t>
      </w:r>
      <w:r w:rsidR="00AF1DC7" w:rsidRPr="004C687D">
        <w:rPr>
          <w:rFonts w:eastAsia="Verdana" w:cs="Verdana"/>
          <w:szCs w:val="18"/>
          <w:bdr w:val="nil"/>
        </w:rPr>
        <w:t xml:space="preserve">membres </w:t>
      </w:r>
      <w:r>
        <w:rPr>
          <w:rFonts w:eastAsia="Verdana" w:cs="Verdana"/>
          <w:szCs w:val="18"/>
          <w:bdr w:val="nil"/>
        </w:rPr>
        <w:t>donnent du</w:t>
      </w:r>
      <w:r w:rsidR="00AF1DC7" w:rsidRPr="004C687D">
        <w:rPr>
          <w:rFonts w:eastAsia="Verdana" w:cs="Verdana"/>
          <w:szCs w:val="18"/>
          <w:bdr w:val="nil"/>
        </w:rPr>
        <w:t xml:space="preserve"> feedback. </w:t>
      </w: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reconnaît que l'organisation pouvait faire un peu mieux mais des leçons en seront tirées pour l'avenir. </w:t>
      </w:r>
    </w:p>
    <w:p w:rsidR="00F561E5" w:rsidRPr="004C687D" w:rsidRDefault="003010C6" w:rsidP="00ED63BE">
      <w:pPr>
        <w:ind w:right="-1"/>
        <w:rPr>
          <w:szCs w:val="18"/>
        </w:rPr>
      </w:pPr>
      <w:bookmarkStart w:id="0" w:name="_GoBack"/>
      <w:bookmarkEnd w:id="0"/>
    </w:p>
    <w:p w:rsidR="00BD33FF" w:rsidRPr="004C687D" w:rsidRDefault="00AF1DC7" w:rsidP="00BD33FF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>8.</w:t>
      </w:r>
      <w:r w:rsidRPr="004C687D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redesign des administrations de soins de santé</w:t>
      </w:r>
    </w:p>
    <w:p w:rsidR="00F561E5" w:rsidRPr="004C687D" w:rsidRDefault="002369E5" w:rsidP="00E17168">
      <w:pPr>
        <w:pStyle w:val="Lijstalinea"/>
        <w:ind w:left="0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AF1DC7" w:rsidRPr="004C687D">
        <w:rPr>
          <w:rFonts w:eastAsia="Verdana" w:cs="Verdana"/>
          <w:szCs w:val="18"/>
          <w:bdr w:val="nil"/>
        </w:rPr>
        <w:t xml:space="preserve"> présente un état d'avancement du </w:t>
      </w:r>
      <w:proofErr w:type="spellStart"/>
      <w:r w:rsidR="00AF1DC7" w:rsidRPr="004C687D">
        <w:rPr>
          <w:rFonts w:eastAsia="Verdana" w:cs="Verdana"/>
          <w:szCs w:val="18"/>
          <w:bdr w:val="nil"/>
        </w:rPr>
        <w:t>redesign</w:t>
      </w:r>
      <w:proofErr w:type="spellEnd"/>
      <w:r w:rsidR="00AF1DC7" w:rsidRPr="004C687D">
        <w:rPr>
          <w:rFonts w:eastAsia="Verdana" w:cs="Verdana"/>
          <w:szCs w:val="18"/>
          <w:bdr w:val="nil"/>
        </w:rPr>
        <w:t xml:space="preserve"> des administrations de santé. </w:t>
      </w:r>
    </w:p>
    <w:p w:rsidR="00E17168" w:rsidRPr="004C687D" w:rsidRDefault="00AF1DC7" w:rsidP="00E17168">
      <w:pPr>
        <w:pStyle w:val="Lijstalinea"/>
        <w:ind w:left="0"/>
        <w:rPr>
          <w:szCs w:val="18"/>
        </w:rPr>
      </w:pPr>
      <w:r w:rsidRPr="004C687D">
        <w:rPr>
          <w:rFonts w:eastAsia="Verdana" w:cs="Verdana"/>
          <w:szCs w:val="18"/>
          <w:bdr w:val="nil"/>
        </w:rPr>
        <w:t xml:space="preserve">Le </w:t>
      </w:r>
      <w:proofErr w:type="spellStart"/>
      <w:r w:rsidRPr="004C687D">
        <w:rPr>
          <w:rFonts w:eastAsia="Verdana" w:cs="Verdana"/>
          <w:szCs w:val="18"/>
          <w:bdr w:val="nil"/>
        </w:rPr>
        <w:t>redesign</w:t>
      </w:r>
      <w:proofErr w:type="spellEnd"/>
      <w:r w:rsidRPr="004C687D">
        <w:rPr>
          <w:rFonts w:eastAsia="Verdana" w:cs="Verdana"/>
          <w:szCs w:val="18"/>
          <w:bdr w:val="nil"/>
        </w:rPr>
        <w:t xml:space="preserve"> connaît deux grands chantiers : le déménagement de l'AFMPS, du SPF SPSCAE et de l'I</w:t>
      </w:r>
      <w:r>
        <w:rPr>
          <w:rFonts w:eastAsia="Verdana" w:cs="Verdana"/>
          <w:szCs w:val="18"/>
          <w:bdr w:val="nil"/>
        </w:rPr>
        <w:t>NAMI vers le bâtiment Galilée (« </w:t>
      </w:r>
      <w:proofErr w:type="spellStart"/>
      <w:r>
        <w:rPr>
          <w:rFonts w:eastAsia="Verdana" w:cs="Verdana"/>
          <w:szCs w:val="18"/>
          <w:bdr w:val="nil"/>
        </w:rPr>
        <w:t>Health</w:t>
      </w:r>
      <w:proofErr w:type="spellEnd"/>
      <w:r>
        <w:rPr>
          <w:rFonts w:eastAsia="Verdana" w:cs="Verdana"/>
          <w:szCs w:val="18"/>
          <w:bdr w:val="nil"/>
        </w:rPr>
        <w:t xml:space="preserve"> on the move »</w:t>
      </w:r>
      <w:r w:rsidRPr="004C687D">
        <w:rPr>
          <w:rFonts w:eastAsia="Verdana" w:cs="Verdana"/>
          <w:szCs w:val="18"/>
          <w:bdr w:val="nil"/>
        </w:rPr>
        <w:t xml:space="preserve">) et une collaboration plus étroite entre les trois administrations de santé précitées. </w:t>
      </w:r>
    </w:p>
    <w:sectPr w:rsidR="00E17168" w:rsidRPr="004C687D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03" w:rsidRDefault="00AF1DC7">
      <w:pPr>
        <w:spacing w:after="0" w:line="240" w:lineRule="auto"/>
      </w:pPr>
      <w:r>
        <w:separator/>
      </w:r>
    </w:p>
  </w:endnote>
  <w:endnote w:type="continuationSeparator" w:id="0">
    <w:p w:rsidR="000E7303" w:rsidRDefault="00AF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24618B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3F3EB8" w:rsidRDefault="00AF1DC7" w:rsidP="000D4938">
          <w:pPr>
            <w:pStyle w:val="Koptekst"/>
            <w:ind w:left="113" w:right="113"/>
          </w:pPr>
          <w:r>
            <w:rPr>
              <w:rFonts w:cs="Calibri"/>
              <w:color w:val="4F81BD"/>
              <w:bdr w:val="nil"/>
            </w:rPr>
            <w:t>Rapport de réunion du 14.03.2018</w:t>
          </w:r>
        </w:p>
      </w:tc>
    </w:tr>
    <w:tr w:rsidR="0024618B">
      <w:tc>
        <w:tcPr>
          <w:tcW w:w="498" w:type="dxa"/>
          <w:tcBorders>
            <w:top w:val="single" w:sz="4" w:space="0" w:color="auto"/>
          </w:tcBorders>
        </w:tcPr>
        <w:p w:rsidR="003F3EB8" w:rsidRPr="00382AF0" w:rsidRDefault="00AF1DC7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3010C6" w:rsidRPr="003010C6">
            <w:rPr>
              <w:noProof/>
              <w:color w:val="4F81BD" w:themeColor="accent1"/>
              <w:sz w:val="24"/>
              <w:szCs w:val="24"/>
            </w:rPr>
            <w:t>3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24618B">
      <w:trPr>
        <w:trHeight w:val="768"/>
      </w:trPr>
      <w:tc>
        <w:tcPr>
          <w:tcW w:w="498" w:type="dxa"/>
        </w:tcPr>
        <w:p w:rsidR="003F3EB8" w:rsidRDefault="003010C6">
          <w:pPr>
            <w:pStyle w:val="Koptekst"/>
          </w:pPr>
        </w:p>
      </w:tc>
    </w:tr>
  </w:tbl>
  <w:p w:rsidR="003F3EB8" w:rsidRPr="000407B8" w:rsidRDefault="000407B8">
    <w:pPr>
      <w:pStyle w:val="Voettekst"/>
      <w:rPr>
        <w:rFonts w:eastAsia="Verdana" w:cs="Verdana"/>
        <w:szCs w:val="18"/>
        <w:bdr w:val="nil"/>
      </w:rPr>
    </w:pPr>
    <w:r>
      <w:rPr>
        <w:rFonts w:eastAsia="Verdana" w:cs="Verdana"/>
        <w:szCs w:val="18"/>
        <w:bdr w:val="nil"/>
      </w:rPr>
      <w:t xml:space="preserve">DC-CT 72 </w:t>
    </w:r>
    <w:r w:rsidR="00AF1DC7">
      <w:rPr>
        <w:rFonts w:eastAsia="Verdana" w:cs="Verdana"/>
        <w:szCs w:val="18"/>
        <w:bdr w:val="nil"/>
      </w:rPr>
      <w:t>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03" w:rsidRDefault="00AF1DC7">
      <w:pPr>
        <w:spacing w:after="0" w:line="240" w:lineRule="auto"/>
      </w:pPr>
      <w:r>
        <w:separator/>
      </w:r>
    </w:p>
  </w:footnote>
  <w:footnote w:type="continuationSeparator" w:id="0">
    <w:p w:rsidR="000E7303" w:rsidRDefault="00AF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9B6038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A4E9F2" w:tentative="1">
      <w:start w:val="1"/>
      <w:numFmt w:val="lowerLetter"/>
      <w:lvlText w:val="%2."/>
      <w:lvlJc w:val="left"/>
      <w:pPr>
        <w:ind w:left="1440" w:hanging="360"/>
      </w:pPr>
    </w:lvl>
    <w:lvl w:ilvl="2" w:tplc="9BCEAD1A" w:tentative="1">
      <w:start w:val="1"/>
      <w:numFmt w:val="lowerRoman"/>
      <w:lvlText w:val="%3."/>
      <w:lvlJc w:val="right"/>
      <w:pPr>
        <w:ind w:left="2160" w:hanging="180"/>
      </w:pPr>
    </w:lvl>
    <w:lvl w:ilvl="3" w:tplc="42B448D4" w:tentative="1">
      <w:start w:val="1"/>
      <w:numFmt w:val="decimal"/>
      <w:lvlText w:val="%4."/>
      <w:lvlJc w:val="left"/>
      <w:pPr>
        <w:ind w:left="2880" w:hanging="360"/>
      </w:pPr>
    </w:lvl>
    <w:lvl w:ilvl="4" w:tplc="7D50DEA4" w:tentative="1">
      <w:start w:val="1"/>
      <w:numFmt w:val="lowerLetter"/>
      <w:lvlText w:val="%5."/>
      <w:lvlJc w:val="left"/>
      <w:pPr>
        <w:ind w:left="3600" w:hanging="360"/>
      </w:pPr>
    </w:lvl>
    <w:lvl w:ilvl="5" w:tplc="D944C18C" w:tentative="1">
      <w:start w:val="1"/>
      <w:numFmt w:val="lowerRoman"/>
      <w:lvlText w:val="%6."/>
      <w:lvlJc w:val="right"/>
      <w:pPr>
        <w:ind w:left="4320" w:hanging="180"/>
      </w:pPr>
    </w:lvl>
    <w:lvl w:ilvl="6" w:tplc="B9989C08" w:tentative="1">
      <w:start w:val="1"/>
      <w:numFmt w:val="decimal"/>
      <w:lvlText w:val="%7."/>
      <w:lvlJc w:val="left"/>
      <w:pPr>
        <w:ind w:left="5040" w:hanging="360"/>
      </w:pPr>
    </w:lvl>
    <w:lvl w:ilvl="7" w:tplc="70DC15F2" w:tentative="1">
      <w:start w:val="1"/>
      <w:numFmt w:val="lowerLetter"/>
      <w:lvlText w:val="%8."/>
      <w:lvlJc w:val="left"/>
      <w:pPr>
        <w:ind w:left="5760" w:hanging="360"/>
      </w:pPr>
    </w:lvl>
    <w:lvl w:ilvl="8" w:tplc="475A9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3C1"/>
    <w:multiLevelType w:val="hybridMultilevel"/>
    <w:tmpl w:val="C2D05748"/>
    <w:lvl w:ilvl="0" w:tplc="6E80B4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679C6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52E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B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B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A51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7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C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2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04"/>
    <w:multiLevelType w:val="hybridMultilevel"/>
    <w:tmpl w:val="93861BE8"/>
    <w:lvl w:ilvl="0" w:tplc="67A225D4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C920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85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A6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2F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83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22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08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65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9C3"/>
    <w:multiLevelType w:val="hybridMultilevel"/>
    <w:tmpl w:val="1E723B66"/>
    <w:lvl w:ilvl="0" w:tplc="5546BD32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B80655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5C1A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D87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0C1C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A437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3C4C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A8DC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DEAA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F2FCA"/>
    <w:multiLevelType w:val="hybridMultilevel"/>
    <w:tmpl w:val="41BE6650"/>
    <w:lvl w:ilvl="0" w:tplc="2AC0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C313A">
      <w:start w:val="1"/>
      <w:numFmt w:val="lowerLetter"/>
      <w:lvlText w:val="%2."/>
      <w:lvlJc w:val="left"/>
      <w:pPr>
        <w:ind w:left="1440" w:hanging="360"/>
      </w:pPr>
    </w:lvl>
    <w:lvl w:ilvl="2" w:tplc="F9C493AA">
      <w:start w:val="1"/>
      <w:numFmt w:val="lowerRoman"/>
      <w:lvlText w:val="%3."/>
      <w:lvlJc w:val="right"/>
      <w:pPr>
        <w:ind w:left="2160" w:hanging="180"/>
      </w:pPr>
    </w:lvl>
    <w:lvl w:ilvl="3" w:tplc="45648F7C" w:tentative="1">
      <w:start w:val="1"/>
      <w:numFmt w:val="decimal"/>
      <w:lvlText w:val="%4."/>
      <w:lvlJc w:val="left"/>
      <w:pPr>
        <w:ind w:left="2880" w:hanging="360"/>
      </w:pPr>
    </w:lvl>
    <w:lvl w:ilvl="4" w:tplc="0130D138" w:tentative="1">
      <w:start w:val="1"/>
      <w:numFmt w:val="lowerLetter"/>
      <w:lvlText w:val="%5."/>
      <w:lvlJc w:val="left"/>
      <w:pPr>
        <w:ind w:left="3600" w:hanging="360"/>
      </w:pPr>
    </w:lvl>
    <w:lvl w:ilvl="5" w:tplc="EC1212A2" w:tentative="1">
      <w:start w:val="1"/>
      <w:numFmt w:val="lowerRoman"/>
      <w:lvlText w:val="%6."/>
      <w:lvlJc w:val="right"/>
      <w:pPr>
        <w:ind w:left="4320" w:hanging="180"/>
      </w:pPr>
    </w:lvl>
    <w:lvl w:ilvl="6" w:tplc="4934C606" w:tentative="1">
      <w:start w:val="1"/>
      <w:numFmt w:val="decimal"/>
      <w:lvlText w:val="%7."/>
      <w:lvlJc w:val="left"/>
      <w:pPr>
        <w:ind w:left="5040" w:hanging="360"/>
      </w:pPr>
    </w:lvl>
    <w:lvl w:ilvl="7" w:tplc="68CCF814" w:tentative="1">
      <w:start w:val="1"/>
      <w:numFmt w:val="lowerLetter"/>
      <w:lvlText w:val="%8."/>
      <w:lvlJc w:val="left"/>
      <w:pPr>
        <w:ind w:left="5760" w:hanging="360"/>
      </w:pPr>
    </w:lvl>
    <w:lvl w:ilvl="8" w:tplc="BB727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C36"/>
    <w:multiLevelType w:val="hybridMultilevel"/>
    <w:tmpl w:val="7A523378"/>
    <w:lvl w:ilvl="0" w:tplc="D3D8BEC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CF418B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D36B40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56DA4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E9C6E3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B9628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A4D9F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C1A88B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7881ED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BF464D"/>
    <w:multiLevelType w:val="hybridMultilevel"/>
    <w:tmpl w:val="FD404DEC"/>
    <w:lvl w:ilvl="0" w:tplc="ACD27FD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4EC5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0D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61C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9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4E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B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6A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9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17D"/>
    <w:multiLevelType w:val="hybridMultilevel"/>
    <w:tmpl w:val="C37ABA58"/>
    <w:lvl w:ilvl="0" w:tplc="7C6CAA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D9C4B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283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36E9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1C90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9ABD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3407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A14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5AE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B781F"/>
    <w:multiLevelType w:val="hybridMultilevel"/>
    <w:tmpl w:val="E0C6BE46"/>
    <w:lvl w:ilvl="0" w:tplc="5B52F126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E2CE7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A8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C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6C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00A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66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2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83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225"/>
    <w:multiLevelType w:val="hybridMultilevel"/>
    <w:tmpl w:val="A9C42F2E"/>
    <w:lvl w:ilvl="0" w:tplc="5100D9F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A106DD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3626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9CA9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2CD0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0A66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0095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FA2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5296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83707"/>
    <w:multiLevelType w:val="hybridMultilevel"/>
    <w:tmpl w:val="6580367E"/>
    <w:lvl w:ilvl="0" w:tplc="881AF8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5EEB40" w:tentative="1">
      <w:start w:val="1"/>
      <w:numFmt w:val="lowerLetter"/>
      <w:lvlText w:val="%2."/>
      <w:lvlJc w:val="left"/>
      <w:pPr>
        <w:ind w:left="1440" w:hanging="360"/>
      </w:pPr>
    </w:lvl>
    <w:lvl w:ilvl="2" w:tplc="8E06E3B4" w:tentative="1">
      <w:start w:val="1"/>
      <w:numFmt w:val="lowerRoman"/>
      <w:lvlText w:val="%3."/>
      <w:lvlJc w:val="right"/>
      <w:pPr>
        <w:ind w:left="2160" w:hanging="180"/>
      </w:pPr>
    </w:lvl>
    <w:lvl w:ilvl="3" w:tplc="FB7A24B0" w:tentative="1">
      <w:start w:val="1"/>
      <w:numFmt w:val="decimal"/>
      <w:lvlText w:val="%4."/>
      <w:lvlJc w:val="left"/>
      <w:pPr>
        <w:ind w:left="2880" w:hanging="360"/>
      </w:pPr>
    </w:lvl>
    <w:lvl w:ilvl="4" w:tplc="DE14469C" w:tentative="1">
      <w:start w:val="1"/>
      <w:numFmt w:val="lowerLetter"/>
      <w:lvlText w:val="%5."/>
      <w:lvlJc w:val="left"/>
      <w:pPr>
        <w:ind w:left="3600" w:hanging="360"/>
      </w:pPr>
    </w:lvl>
    <w:lvl w:ilvl="5" w:tplc="45A40438" w:tentative="1">
      <w:start w:val="1"/>
      <w:numFmt w:val="lowerRoman"/>
      <w:lvlText w:val="%6."/>
      <w:lvlJc w:val="right"/>
      <w:pPr>
        <w:ind w:left="4320" w:hanging="180"/>
      </w:pPr>
    </w:lvl>
    <w:lvl w:ilvl="6" w:tplc="47284074" w:tentative="1">
      <w:start w:val="1"/>
      <w:numFmt w:val="decimal"/>
      <w:lvlText w:val="%7."/>
      <w:lvlJc w:val="left"/>
      <w:pPr>
        <w:ind w:left="5040" w:hanging="360"/>
      </w:pPr>
    </w:lvl>
    <w:lvl w:ilvl="7" w:tplc="1DA49A48" w:tentative="1">
      <w:start w:val="1"/>
      <w:numFmt w:val="lowerLetter"/>
      <w:lvlText w:val="%8."/>
      <w:lvlJc w:val="left"/>
      <w:pPr>
        <w:ind w:left="5760" w:hanging="360"/>
      </w:pPr>
    </w:lvl>
    <w:lvl w:ilvl="8" w:tplc="47760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47E5"/>
    <w:multiLevelType w:val="hybridMultilevel"/>
    <w:tmpl w:val="05F01910"/>
    <w:lvl w:ilvl="0" w:tplc="0630D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26A9A" w:tentative="1">
      <w:start w:val="1"/>
      <w:numFmt w:val="lowerLetter"/>
      <w:lvlText w:val="%2."/>
      <w:lvlJc w:val="left"/>
      <w:pPr>
        <w:ind w:left="1440" w:hanging="360"/>
      </w:pPr>
    </w:lvl>
    <w:lvl w:ilvl="2" w:tplc="1F729E06" w:tentative="1">
      <w:start w:val="1"/>
      <w:numFmt w:val="lowerRoman"/>
      <w:lvlText w:val="%3."/>
      <w:lvlJc w:val="right"/>
      <w:pPr>
        <w:ind w:left="2160" w:hanging="180"/>
      </w:pPr>
    </w:lvl>
    <w:lvl w:ilvl="3" w:tplc="D9A66210" w:tentative="1">
      <w:start w:val="1"/>
      <w:numFmt w:val="decimal"/>
      <w:lvlText w:val="%4."/>
      <w:lvlJc w:val="left"/>
      <w:pPr>
        <w:ind w:left="2880" w:hanging="360"/>
      </w:pPr>
    </w:lvl>
    <w:lvl w:ilvl="4" w:tplc="70722BD0" w:tentative="1">
      <w:start w:val="1"/>
      <w:numFmt w:val="lowerLetter"/>
      <w:lvlText w:val="%5."/>
      <w:lvlJc w:val="left"/>
      <w:pPr>
        <w:ind w:left="3600" w:hanging="360"/>
      </w:pPr>
    </w:lvl>
    <w:lvl w:ilvl="5" w:tplc="3030EFC0" w:tentative="1">
      <w:start w:val="1"/>
      <w:numFmt w:val="lowerRoman"/>
      <w:lvlText w:val="%6."/>
      <w:lvlJc w:val="right"/>
      <w:pPr>
        <w:ind w:left="4320" w:hanging="180"/>
      </w:pPr>
    </w:lvl>
    <w:lvl w:ilvl="6" w:tplc="5BE61922" w:tentative="1">
      <w:start w:val="1"/>
      <w:numFmt w:val="decimal"/>
      <w:lvlText w:val="%7."/>
      <w:lvlJc w:val="left"/>
      <w:pPr>
        <w:ind w:left="5040" w:hanging="360"/>
      </w:pPr>
    </w:lvl>
    <w:lvl w:ilvl="7" w:tplc="6FFC9764" w:tentative="1">
      <w:start w:val="1"/>
      <w:numFmt w:val="lowerLetter"/>
      <w:lvlText w:val="%8."/>
      <w:lvlJc w:val="left"/>
      <w:pPr>
        <w:ind w:left="5760" w:hanging="360"/>
      </w:pPr>
    </w:lvl>
    <w:lvl w:ilvl="8" w:tplc="71ECD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84782"/>
    <w:multiLevelType w:val="hybridMultilevel"/>
    <w:tmpl w:val="3162DA66"/>
    <w:lvl w:ilvl="0" w:tplc="9B8610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B676EE" w:tentative="1">
      <w:start w:val="1"/>
      <w:numFmt w:val="lowerLetter"/>
      <w:lvlText w:val="%2."/>
      <w:lvlJc w:val="left"/>
      <w:pPr>
        <w:ind w:left="1440" w:hanging="360"/>
      </w:pPr>
    </w:lvl>
    <w:lvl w:ilvl="2" w:tplc="07D85A18" w:tentative="1">
      <w:start w:val="1"/>
      <w:numFmt w:val="lowerRoman"/>
      <w:lvlText w:val="%3."/>
      <w:lvlJc w:val="right"/>
      <w:pPr>
        <w:ind w:left="2160" w:hanging="180"/>
      </w:pPr>
    </w:lvl>
    <w:lvl w:ilvl="3" w:tplc="D4123DE4" w:tentative="1">
      <w:start w:val="1"/>
      <w:numFmt w:val="decimal"/>
      <w:lvlText w:val="%4."/>
      <w:lvlJc w:val="left"/>
      <w:pPr>
        <w:ind w:left="2880" w:hanging="360"/>
      </w:pPr>
    </w:lvl>
    <w:lvl w:ilvl="4" w:tplc="D31C64D6" w:tentative="1">
      <w:start w:val="1"/>
      <w:numFmt w:val="lowerLetter"/>
      <w:lvlText w:val="%5."/>
      <w:lvlJc w:val="left"/>
      <w:pPr>
        <w:ind w:left="3600" w:hanging="360"/>
      </w:pPr>
    </w:lvl>
    <w:lvl w:ilvl="5" w:tplc="BBAC3BD6" w:tentative="1">
      <w:start w:val="1"/>
      <w:numFmt w:val="lowerRoman"/>
      <w:lvlText w:val="%6."/>
      <w:lvlJc w:val="right"/>
      <w:pPr>
        <w:ind w:left="4320" w:hanging="180"/>
      </w:pPr>
    </w:lvl>
    <w:lvl w:ilvl="6" w:tplc="01D81810" w:tentative="1">
      <w:start w:val="1"/>
      <w:numFmt w:val="decimal"/>
      <w:lvlText w:val="%7."/>
      <w:lvlJc w:val="left"/>
      <w:pPr>
        <w:ind w:left="5040" w:hanging="360"/>
      </w:pPr>
    </w:lvl>
    <w:lvl w:ilvl="7" w:tplc="9294B89A" w:tentative="1">
      <w:start w:val="1"/>
      <w:numFmt w:val="lowerLetter"/>
      <w:lvlText w:val="%8."/>
      <w:lvlJc w:val="left"/>
      <w:pPr>
        <w:ind w:left="5760" w:hanging="360"/>
      </w:pPr>
    </w:lvl>
    <w:lvl w:ilvl="8" w:tplc="79BED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84EF1"/>
    <w:multiLevelType w:val="hybridMultilevel"/>
    <w:tmpl w:val="ACF4BA68"/>
    <w:lvl w:ilvl="0" w:tplc="AA1EC9C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613A5A0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936FE3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158933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ECFE4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66E169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2C5DA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C200D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87484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C57079"/>
    <w:multiLevelType w:val="hybridMultilevel"/>
    <w:tmpl w:val="2B301FF6"/>
    <w:lvl w:ilvl="0" w:tplc="EE609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F83E00" w:tentative="1">
      <w:start w:val="1"/>
      <w:numFmt w:val="lowerLetter"/>
      <w:lvlText w:val="%2."/>
      <w:lvlJc w:val="left"/>
      <w:pPr>
        <w:ind w:left="1440" w:hanging="360"/>
      </w:pPr>
    </w:lvl>
    <w:lvl w:ilvl="2" w:tplc="10700DD8" w:tentative="1">
      <w:start w:val="1"/>
      <w:numFmt w:val="lowerRoman"/>
      <w:lvlText w:val="%3."/>
      <w:lvlJc w:val="right"/>
      <w:pPr>
        <w:ind w:left="2160" w:hanging="180"/>
      </w:pPr>
    </w:lvl>
    <w:lvl w:ilvl="3" w:tplc="668092BA" w:tentative="1">
      <w:start w:val="1"/>
      <w:numFmt w:val="decimal"/>
      <w:lvlText w:val="%4."/>
      <w:lvlJc w:val="left"/>
      <w:pPr>
        <w:ind w:left="2880" w:hanging="360"/>
      </w:pPr>
    </w:lvl>
    <w:lvl w:ilvl="4" w:tplc="7EBA1990" w:tentative="1">
      <w:start w:val="1"/>
      <w:numFmt w:val="lowerLetter"/>
      <w:lvlText w:val="%5."/>
      <w:lvlJc w:val="left"/>
      <w:pPr>
        <w:ind w:left="3600" w:hanging="360"/>
      </w:pPr>
    </w:lvl>
    <w:lvl w:ilvl="5" w:tplc="1BAE2F1E" w:tentative="1">
      <w:start w:val="1"/>
      <w:numFmt w:val="lowerRoman"/>
      <w:lvlText w:val="%6."/>
      <w:lvlJc w:val="right"/>
      <w:pPr>
        <w:ind w:left="4320" w:hanging="180"/>
      </w:pPr>
    </w:lvl>
    <w:lvl w:ilvl="6" w:tplc="DCDC6D82" w:tentative="1">
      <w:start w:val="1"/>
      <w:numFmt w:val="decimal"/>
      <w:lvlText w:val="%7."/>
      <w:lvlJc w:val="left"/>
      <w:pPr>
        <w:ind w:left="5040" w:hanging="360"/>
      </w:pPr>
    </w:lvl>
    <w:lvl w:ilvl="7" w:tplc="769EE848" w:tentative="1">
      <w:start w:val="1"/>
      <w:numFmt w:val="lowerLetter"/>
      <w:lvlText w:val="%8."/>
      <w:lvlJc w:val="left"/>
      <w:pPr>
        <w:ind w:left="5760" w:hanging="360"/>
      </w:pPr>
    </w:lvl>
    <w:lvl w:ilvl="8" w:tplc="9A903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30C"/>
    <w:multiLevelType w:val="hybridMultilevel"/>
    <w:tmpl w:val="A310409E"/>
    <w:lvl w:ilvl="0" w:tplc="F2BA84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96F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2DC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602C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7C7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7AD2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EE3B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98B2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4252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21442"/>
    <w:multiLevelType w:val="hybridMultilevel"/>
    <w:tmpl w:val="53CADE8C"/>
    <w:lvl w:ilvl="0" w:tplc="433CB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0EF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22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E7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00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6F3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0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2E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65D"/>
    <w:multiLevelType w:val="hybridMultilevel"/>
    <w:tmpl w:val="1C10F7F4"/>
    <w:lvl w:ilvl="0" w:tplc="AFC8175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805A5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4A2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62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AC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0ED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40C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0D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AD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35A12"/>
    <w:multiLevelType w:val="hybridMultilevel"/>
    <w:tmpl w:val="84D2EE50"/>
    <w:lvl w:ilvl="0" w:tplc="E84C38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5BA2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B268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61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A3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0C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ED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8B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E9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37AE"/>
    <w:multiLevelType w:val="hybridMultilevel"/>
    <w:tmpl w:val="43428B84"/>
    <w:lvl w:ilvl="0" w:tplc="156874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808980" w:tentative="1">
      <w:start w:val="1"/>
      <w:numFmt w:val="lowerLetter"/>
      <w:lvlText w:val="%2."/>
      <w:lvlJc w:val="left"/>
      <w:pPr>
        <w:ind w:left="1440" w:hanging="360"/>
      </w:pPr>
    </w:lvl>
    <w:lvl w:ilvl="2" w:tplc="948C40D4" w:tentative="1">
      <w:start w:val="1"/>
      <w:numFmt w:val="lowerRoman"/>
      <w:lvlText w:val="%3."/>
      <w:lvlJc w:val="right"/>
      <w:pPr>
        <w:ind w:left="2160" w:hanging="180"/>
      </w:pPr>
    </w:lvl>
    <w:lvl w:ilvl="3" w:tplc="61F44E70" w:tentative="1">
      <w:start w:val="1"/>
      <w:numFmt w:val="decimal"/>
      <w:lvlText w:val="%4."/>
      <w:lvlJc w:val="left"/>
      <w:pPr>
        <w:ind w:left="2880" w:hanging="360"/>
      </w:pPr>
    </w:lvl>
    <w:lvl w:ilvl="4" w:tplc="7BE68BF8" w:tentative="1">
      <w:start w:val="1"/>
      <w:numFmt w:val="lowerLetter"/>
      <w:lvlText w:val="%5."/>
      <w:lvlJc w:val="left"/>
      <w:pPr>
        <w:ind w:left="3600" w:hanging="360"/>
      </w:pPr>
    </w:lvl>
    <w:lvl w:ilvl="5" w:tplc="4FA82F7A" w:tentative="1">
      <w:start w:val="1"/>
      <w:numFmt w:val="lowerRoman"/>
      <w:lvlText w:val="%6."/>
      <w:lvlJc w:val="right"/>
      <w:pPr>
        <w:ind w:left="4320" w:hanging="180"/>
      </w:pPr>
    </w:lvl>
    <w:lvl w:ilvl="6" w:tplc="AB82451A" w:tentative="1">
      <w:start w:val="1"/>
      <w:numFmt w:val="decimal"/>
      <w:lvlText w:val="%7."/>
      <w:lvlJc w:val="left"/>
      <w:pPr>
        <w:ind w:left="5040" w:hanging="360"/>
      </w:pPr>
    </w:lvl>
    <w:lvl w:ilvl="7" w:tplc="5D76CF60" w:tentative="1">
      <w:start w:val="1"/>
      <w:numFmt w:val="lowerLetter"/>
      <w:lvlText w:val="%8."/>
      <w:lvlJc w:val="left"/>
      <w:pPr>
        <w:ind w:left="5760" w:hanging="360"/>
      </w:pPr>
    </w:lvl>
    <w:lvl w:ilvl="8" w:tplc="116004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8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8B"/>
    <w:rsid w:val="000407B8"/>
    <w:rsid w:val="000E7303"/>
    <w:rsid w:val="002369E5"/>
    <w:rsid w:val="0024618B"/>
    <w:rsid w:val="00292D2B"/>
    <w:rsid w:val="003010C6"/>
    <w:rsid w:val="004C1AAB"/>
    <w:rsid w:val="004C687D"/>
    <w:rsid w:val="006D3DE9"/>
    <w:rsid w:val="009E2513"/>
    <w:rsid w:val="00A038F5"/>
    <w:rsid w:val="00A62D5D"/>
    <w:rsid w:val="00AB0754"/>
    <w:rsid w:val="00AF1DC7"/>
    <w:rsid w:val="00D140FF"/>
    <w:rsid w:val="00DC46C3"/>
    <w:rsid w:val="00FE4488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C72B-641E-4315-B04A-F992946B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A0934-57EC-44F1-A4C3-C88E9387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Coppée Augustin</dc:creator>
  <cp:lastModifiedBy>Moens Astrid</cp:lastModifiedBy>
  <cp:revision>5</cp:revision>
  <cp:lastPrinted>2018-01-24T16:20:00Z</cp:lastPrinted>
  <dcterms:created xsi:type="dcterms:W3CDTF">2019-08-12T08:55:00Z</dcterms:created>
  <dcterms:modified xsi:type="dcterms:W3CDTF">2019-08-12T09:25:00Z</dcterms:modified>
</cp:coreProperties>
</file>