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4C45" w14:textId="0811588F" w:rsidR="009B7E5E" w:rsidRPr="008C436F" w:rsidRDefault="009B7E5E" w:rsidP="008C436F">
      <w:pPr>
        <w:spacing w:after="0" w:line="240" w:lineRule="auto"/>
        <w:rPr>
          <w:rFonts w:ascii="Verdana" w:hAnsi="Verdana"/>
          <w:bCs/>
          <w:sz w:val="18"/>
          <w:szCs w:val="18"/>
          <w:lang w:val="fr-BE"/>
        </w:rPr>
      </w:pPr>
    </w:p>
    <w:p w14:paraId="5033B30E" w14:textId="77777777" w:rsidR="009B7E5E" w:rsidRPr="008C436F" w:rsidRDefault="009B7E5E" w:rsidP="008C436F">
      <w:pPr>
        <w:spacing w:after="0" w:line="240" w:lineRule="auto"/>
        <w:rPr>
          <w:rFonts w:ascii="Verdana" w:hAnsi="Verdana"/>
          <w:bCs/>
          <w:sz w:val="18"/>
          <w:szCs w:val="18"/>
          <w:lang w:val="fr-BE"/>
        </w:rPr>
      </w:pPr>
    </w:p>
    <w:p w14:paraId="6A68FE91" w14:textId="77777777" w:rsidR="009B7E5E" w:rsidRPr="008C436F" w:rsidRDefault="009B7E5E" w:rsidP="008C436F">
      <w:pPr>
        <w:spacing w:after="0" w:line="240" w:lineRule="auto"/>
        <w:rPr>
          <w:rFonts w:ascii="Verdana" w:hAnsi="Verdana"/>
          <w:bCs/>
          <w:sz w:val="18"/>
          <w:szCs w:val="18"/>
          <w:lang w:val="fr-BE"/>
        </w:rPr>
      </w:pPr>
    </w:p>
    <w:p w14:paraId="58FB02C0" w14:textId="00DE8232" w:rsidR="009B7E5E" w:rsidRPr="008C436F" w:rsidRDefault="009B7E5E" w:rsidP="008C436F">
      <w:pPr>
        <w:spacing w:after="0" w:line="240" w:lineRule="auto"/>
        <w:rPr>
          <w:rFonts w:ascii="Verdana" w:hAnsi="Verdana"/>
          <w:bCs/>
          <w:sz w:val="18"/>
          <w:szCs w:val="18"/>
          <w:lang w:val="fr-BE"/>
        </w:rPr>
      </w:pPr>
    </w:p>
    <w:p w14:paraId="30A5662E" w14:textId="33F41877" w:rsidR="009B7E5E" w:rsidRPr="008C436F" w:rsidRDefault="009B7E5E" w:rsidP="008C436F">
      <w:pPr>
        <w:spacing w:after="0" w:line="240" w:lineRule="auto"/>
        <w:rPr>
          <w:rFonts w:ascii="Verdana" w:hAnsi="Verdana"/>
          <w:bCs/>
          <w:sz w:val="18"/>
          <w:szCs w:val="18"/>
          <w:lang w:val="fr-BE"/>
        </w:rPr>
      </w:pPr>
    </w:p>
    <w:p w14:paraId="544DB1CD" w14:textId="10C3E7D5" w:rsidR="009B7E5E" w:rsidRPr="008C436F" w:rsidRDefault="009B7E5E" w:rsidP="008C436F">
      <w:pPr>
        <w:spacing w:after="0" w:line="240" w:lineRule="auto"/>
        <w:rPr>
          <w:rFonts w:ascii="Verdana" w:hAnsi="Verdana"/>
          <w:bCs/>
          <w:sz w:val="18"/>
          <w:szCs w:val="18"/>
          <w:lang w:val="fr-BE"/>
        </w:rPr>
      </w:pPr>
    </w:p>
    <w:p w14:paraId="120CA2CE" w14:textId="5F9CD6CC" w:rsidR="009B7E5E" w:rsidRPr="008C436F" w:rsidRDefault="009B7E5E" w:rsidP="008C436F">
      <w:pPr>
        <w:tabs>
          <w:tab w:val="left" w:pos="3493"/>
        </w:tabs>
        <w:spacing w:after="0" w:line="240" w:lineRule="auto"/>
        <w:jc w:val="center"/>
        <w:rPr>
          <w:rFonts w:ascii="Verdana" w:hAnsi="Verdana"/>
          <w:bCs/>
          <w:sz w:val="18"/>
          <w:szCs w:val="18"/>
          <w:lang w:val="fr-BE"/>
        </w:rPr>
      </w:pPr>
    </w:p>
    <w:p w14:paraId="3EEF8B13" w14:textId="039BA93B" w:rsidR="00F003B9" w:rsidRPr="008C436F" w:rsidRDefault="00F003B9" w:rsidP="008C436F">
      <w:pPr>
        <w:tabs>
          <w:tab w:val="left" w:pos="3493"/>
        </w:tabs>
        <w:spacing w:after="0" w:line="240" w:lineRule="auto"/>
        <w:jc w:val="center"/>
        <w:rPr>
          <w:rFonts w:ascii="Verdana" w:hAnsi="Verdana"/>
          <w:bCs/>
          <w:sz w:val="18"/>
          <w:szCs w:val="18"/>
          <w:lang w:val="fr-BE"/>
        </w:rPr>
      </w:pPr>
    </w:p>
    <w:p w14:paraId="485AC6F4" w14:textId="34DB0193" w:rsidR="00F003B9" w:rsidRPr="008C436F" w:rsidRDefault="00F003B9" w:rsidP="008C436F">
      <w:pPr>
        <w:tabs>
          <w:tab w:val="left" w:pos="3493"/>
        </w:tabs>
        <w:spacing w:after="0" w:line="240" w:lineRule="auto"/>
        <w:jc w:val="center"/>
        <w:rPr>
          <w:rFonts w:ascii="Verdana" w:hAnsi="Verdana"/>
          <w:bCs/>
          <w:sz w:val="18"/>
          <w:szCs w:val="18"/>
          <w:lang w:val="fr-BE"/>
        </w:rPr>
      </w:pPr>
    </w:p>
    <w:p w14:paraId="608429DF" w14:textId="476E3AAD" w:rsidR="00F003B9" w:rsidRPr="008C436F" w:rsidRDefault="00F003B9" w:rsidP="008C436F">
      <w:pPr>
        <w:tabs>
          <w:tab w:val="left" w:pos="3493"/>
        </w:tabs>
        <w:spacing w:after="0" w:line="240" w:lineRule="auto"/>
        <w:jc w:val="center"/>
        <w:rPr>
          <w:rFonts w:ascii="Verdana" w:hAnsi="Verdana"/>
          <w:bCs/>
          <w:sz w:val="18"/>
          <w:szCs w:val="18"/>
          <w:lang w:val="fr-BE"/>
        </w:rPr>
      </w:pPr>
    </w:p>
    <w:p w14:paraId="49DE24B6" w14:textId="1F027831" w:rsidR="00F003B9" w:rsidRPr="008C436F" w:rsidRDefault="00F003B9" w:rsidP="008C436F">
      <w:pPr>
        <w:tabs>
          <w:tab w:val="left" w:pos="3493"/>
        </w:tabs>
        <w:spacing w:after="0" w:line="240" w:lineRule="auto"/>
        <w:jc w:val="center"/>
        <w:rPr>
          <w:rFonts w:ascii="Verdana" w:hAnsi="Verdana"/>
          <w:bCs/>
          <w:sz w:val="18"/>
          <w:szCs w:val="18"/>
          <w:lang w:val="fr-BE"/>
        </w:rPr>
      </w:pPr>
    </w:p>
    <w:p w14:paraId="3CC9BFE6" w14:textId="22D3BB10" w:rsidR="008C436F" w:rsidRPr="008C436F" w:rsidRDefault="008C436F" w:rsidP="008C436F">
      <w:pPr>
        <w:tabs>
          <w:tab w:val="left" w:pos="3493"/>
        </w:tabs>
        <w:spacing w:after="0" w:line="240" w:lineRule="auto"/>
        <w:jc w:val="center"/>
        <w:rPr>
          <w:rFonts w:ascii="Verdana" w:hAnsi="Verdana"/>
          <w:bCs/>
          <w:sz w:val="18"/>
          <w:szCs w:val="18"/>
          <w:lang w:val="fr-BE"/>
        </w:rPr>
      </w:pPr>
    </w:p>
    <w:p w14:paraId="2FBC2CDB" w14:textId="61119171" w:rsidR="008C436F" w:rsidRPr="008C436F" w:rsidRDefault="008C436F" w:rsidP="008C436F">
      <w:pPr>
        <w:tabs>
          <w:tab w:val="left" w:pos="3493"/>
        </w:tabs>
        <w:spacing w:after="0" w:line="240" w:lineRule="auto"/>
        <w:jc w:val="center"/>
        <w:rPr>
          <w:rFonts w:ascii="Verdana" w:hAnsi="Verdana"/>
          <w:bCs/>
          <w:sz w:val="18"/>
          <w:szCs w:val="18"/>
          <w:lang w:val="fr-BE"/>
        </w:rPr>
      </w:pPr>
    </w:p>
    <w:p w14:paraId="7A058B9E" w14:textId="77777777" w:rsidR="008C436F" w:rsidRPr="008C436F" w:rsidRDefault="008C436F" w:rsidP="008C436F">
      <w:pPr>
        <w:tabs>
          <w:tab w:val="left" w:pos="3493"/>
        </w:tabs>
        <w:spacing w:after="0" w:line="240" w:lineRule="auto"/>
        <w:jc w:val="center"/>
        <w:rPr>
          <w:rFonts w:ascii="Verdana" w:hAnsi="Verdana"/>
          <w:bCs/>
          <w:sz w:val="18"/>
          <w:szCs w:val="18"/>
          <w:lang w:val="fr-BE"/>
        </w:rPr>
      </w:pPr>
    </w:p>
    <w:p w14:paraId="4B627866" w14:textId="645FC30F" w:rsidR="00F003B9" w:rsidRPr="008C436F" w:rsidRDefault="00F003B9" w:rsidP="008C436F">
      <w:pPr>
        <w:tabs>
          <w:tab w:val="left" w:pos="3493"/>
        </w:tabs>
        <w:spacing w:after="0" w:line="240" w:lineRule="auto"/>
        <w:jc w:val="center"/>
        <w:rPr>
          <w:rFonts w:ascii="Verdana" w:hAnsi="Verdana"/>
          <w:bCs/>
          <w:sz w:val="18"/>
          <w:szCs w:val="18"/>
          <w:lang w:val="fr-BE"/>
        </w:rPr>
      </w:pPr>
    </w:p>
    <w:p w14:paraId="0A5C0BE3" w14:textId="587F08CA" w:rsidR="00F003B9" w:rsidRPr="008C436F" w:rsidRDefault="00F003B9" w:rsidP="008C436F">
      <w:pPr>
        <w:tabs>
          <w:tab w:val="left" w:pos="3493"/>
        </w:tabs>
        <w:spacing w:after="0" w:line="240" w:lineRule="auto"/>
        <w:jc w:val="center"/>
        <w:rPr>
          <w:rFonts w:ascii="Verdana" w:hAnsi="Verdana"/>
          <w:bCs/>
          <w:sz w:val="18"/>
          <w:szCs w:val="18"/>
          <w:lang w:val="fr-BE"/>
        </w:rPr>
      </w:pPr>
    </w:p>
    <w:p w14:paraId="7E0456CE" w14:textId="77777777" w:rsidR="006C7775" w:rsidRDefault="006C7775" w:rsidP="008C436F">
      <w:pPr>
        <w:tabs>
          <w:tab w:val="left" w:pos="3493"/>
        </w:tabs>
        <w:spacing w:after="0" w:line="240" w:lineRule="auto"/>
        <w:jc w:val="center"/>
        <w:rPr>
          <w:rFonts w:ascii="Verdana" w:hAnsi="Verdana"/>
          <w:bCs/>
          <w:sz w:val="18"/>
          <w:szCs w:val="18"/>
          <w:lang w:val="fr-BE"/>
        </w:rPr>
      </w:pPr>
    </w:p>
    <w:p w14:paraId="5BB1A1A9" w14:textId="0C28384B" w:rsidR="00F003B9" w:rsidRPr="008C436F" w:rsidRDefault="004D2499" w:rsidP="008C436F">
      <w:pPr>
        <w:tabs>
          <w:tab w:val="left" w:pos="3493"/>
        </w:tabs>
        <w:spacing w:after="0" w:line="240" w:lineRule="auto"/>
        <w:jc w:val="center"/>
        <w:rPr>
          <w:rFonts w:ascii="Verdana" w:hAnsi="Verdana"/>
          <w:bCs/>
          <w:sz w:val="18"/>
          <w:szCs w:val="18"/>
          <w:lang w:val="fr-BE"/>
        </w:rPr>
      </w:pPr>
      <w:r w:rsidRPr="008C436F">
        <w:rPr>
          <w:rFonts w:ascii="Verdana" w:hAnsi="Verdana"/>
          <w:bCs/>
          <w:noProof/>
          <w:sz w:val="18"/>
          <w:szCs w:val="18"/>
          <w:lang w:val="fr-BE"/>
        </w:rPr>
        <mc:AlternateContent>
          <mc:Choice Requires="wps">
            <w:drawing>
              <wp:anchor distT="45720" distB="45720" distL="114300" distR="114300" simplePos="0" relativeHeight="251659264" behindDoc="0" locked="0" layoutInCell="1" allowOverlap="1" wp14:anchorId="63D54DC4" wp14:editId="177BDFB8">
                <wp:simplePos x="0" y="0"/>
                <wp:positionH relativeFrom="margin">
                  <wp:posOffset>41910</wp:posOffset>
                </wp:positionH>
                <wp:positionV relativeFrom="paragraph">
                  <wp:posOffset>316230</wp:posOffset>
                </wp:positionV>
                <wp:extent cx="6111240" cy="26136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613660"/>
                        </a:xfrm>
                        <a:prstGeom prst="rect">
                          <a:avLst/>
                        </a:prstGeom>
                        <a:noFill/>
                        <a:ln w="9525">
                          <a:noFill/>
                          <a:miter lim="800000"/>
                          <a:headEnd/>
                          <a:tailEnd/>
                        </a:ln>
                      </wps:spPr>
                      <wps:txbx>
                        <w:txbxContent>
                          <w:p w14:paraId="21AB3493" w14:textId="0D63772D" w:rsidR="00186B92" w:rsidRPr="008C436F" w:rsidRDefault="00AB18A6" w:rsidP="00AB18A6">
                            <w:pPr>
                              <w:spacing w:after="0" w:line="240" w:lineRule="auto"/>
                              <w:jc w:val="center"/>
                              <w:rPr>
                                <w:rFonts w:ascii="Verdana" w:hAnsi="Verdana"/>
                                <w:b/>
                                <w:color w:val="729BC8"/>
                                <w:sz w:val="40"/>
                                <w:szCs w:val="40"/>
                                <w:lang w:val="fr-BE"/>
                              </w:rPr>
                            </w:pPr>
                            <w:r w:rsidRPr="008C436F">
                              <w:rPr>
                                <w:rFonts w:ascii="Verdana" w:hAnsi="Verdana"/>
                                <w:b/>
                                <w:color w:val="729BC8"/>
                                <w:sz w:val="40"/>
                                <w:szCs w:val="40"/>
                                <w:lang w:val="fr-BE"/>
                              </w:rPr>
                              <w:t>Prescription en dénomination commune internationale (DCI)</w:t>
                            </w:r>
                          </w:p>
                          <w:p w14:paraId="3B61F9AA" w14:textId="38B3BF75" w:rsidR="00AB18A6" w:rsidRPr="00AB18A6" w:rsidRDefault="00AB18A6" w:rsidP="00AB18A6">
                            <w:pPr>
                              <w:spacing w:after="0" w:line="240" w:lineRule="auto"/>
                              <w:jc w:val="center"/>
                              <w:rPr>
                                <w:rFonts w:ascii="Verdana" w:hAnsi="Verdana"/>
                                <w:b/>
                                <w:bCs/>
                                <w:color w:val="729BC8"/>
                                <w:sz w:val="48"/>
                                <w:szCs w:val="48"/>
                                <w:lang w:val="fr-BE"/>
                              </w:rPr>
                            </w:pPr>
                          </w:p>
                          <w:p w14:paraId="135F2411" w14:textId="41CA17FF" w:rsidR="00AB18A6" w:rsidRPr="008C436F" w:rsidRDefault="00AB18A6" w:rsidP="00AB18A6">
                            <w:pPr>
                              <w:spacing w:after="0" w:line="240" w:lineRule="auto"/>
                              <w:jc w:val="center"/>
                              <w:rPr>
                                <w:rFonts w:ascii="Verdana" w:hAnsi="Verdana"/>
                                <w:b/>
                                <w:bCs/>
                                <w:sz w:val="24"/>
                                <w:szCs w:val="24"/>
                                <w:lang w:val="fr-BE"/>
                              </w:rPr>
                            </w:pPr>
                            <w:r w:rsidRPr="008C436F">
                              <w:rPr>
                                <w:rFonts w:ascii="Verdana" w:hAnsi="Verdana"/>
                                <w:b/>
                                <w:bCs/>
                                <w:sz w:val="24"/>
                                <w:szCs w:val="24"/>
                                <w:lang w:val="fr-BE"/>
                              </w:rPr>
                              <w:t xml:space="preserve">Règles opérationnelles pour la prescription en DCI dans la pratique médicale et pharmaceutique et dans le dossier médical électronique </w:t>
                            </w:r>
                          </w:p>
                          <w:p w14:paraId="01076530" w14:textId="77777777" w:rsidR="008C436F" w:rsidRPr="008C436F" w:rsidRDefault="008C436F" w:rsidP="00AB18A6">
                            <w:pPr>
                              <w:spacing w:after="0" w:line="240" w:lineRule="auto"/>
                              <w:jc w:val="center"/>
                              <w:rPr>
                                <w:rFonts w:ascii="Verdana" w:hAnsi="Verdana"/>
                                <w:b/>
                                <w:bCs/>
                                <w:sz w:val="24"/>
                                <w:szCs w:val="24"/>
                                <w:lang w:val="fr-BE"/>
                              </w:rPr>
                            </w:pPr>
                          </w:p>
                          <w:p w14:paraId="62C4B708" w14:textId="43F75C58" w:rsidR="00AB18A6" w:rsidRPr="008C436F" w:rsidRDefault="00AB18A6" w:rsidP="00AB18A6">
                            <w:pPr>
                              <w:spacing w:after="0" w:line="240" w:lineRule="auto"/>
                              <w:jc w:val="center"/>
                              <w:rPr>
                                <w:rFonts w:ascii="Verdana" w:hAnsi="Verdana"/>
                                <w:b/>
                                <w:bCs/>
                                <w:sz w:val="24"/>
                                <w:szCs w:val="24"/>
                                <w:lang w:val="fr-BE"/>
                              </w:rPr>
                            </w:pPr>
                            <w:r w:rsidRPr="008C436F">
                              <w:rPr>
                                <w:rFonts w:ascii="Verdana" w:hAnsi="Verdana"/>
                                <w:b/>
                                <w:bCs/>
                                <w:sz w:val="24"/>
                                <w:szCs w:val="24"/>
                                <w:lang w:val="fr-BE"/>
                              </w:rPr>
                              <w:t>Version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54DC4" id="_x0000_t202" coordsize="21600,21600" o:spt="202" path="m,l,21600r21600,l21600,xe">
                <v:stroke joinstyle="miter"/>
                <v:path gradientshapeok="t" o:connecttype="rect"/>
              </v:shapetype>
              <v:shape id="Zone de texte 2" o:spid="_x0000_s1026" type="#_x0000_t202" style="position:absolute;left:0;text-align:left;margin-left:3.3pt;margin-top:24.9pt;width:481.2pt;height:20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" filled="f" stroked="f">
                <v:textbox>
                  <w:txbxContent>
                    <w:p w14:paraId="21AB3493" w14:textId="0D63772D" w:rsidR="00186B92" w:rsidRPr="008C436F" w:rsidRDefault="00AB18A6" w:rsidP="00AB18A6">
                      <w:pPr>
                        <w:spacing w:after="0" w:line="240" w:lineRule="auto"/>
                        <w:jc w:val="center"/>
                        <w:rPr>
                          <w:rFonts w:ascii="Verdana" w:hAnsi="Verdana"/>
                          <w:b/>
                          <w:color w:val="729BC8"/>
                          <w:sz w:val="40"/>
                          <w:szCs w:val="40"/>
                          <w:lang w:val="fr-BE"/>
                        </w:rPr>
                      </w:pPr>
                      <w:r w:rsidRPr="008C436F">
                        <w:rPr>
                          <w:rFonts w:ascii="Verdana" w:hAnsi="Verdana"/>
                          <w:b/>
                          <w:color w:val="729BC8"/>
                          <w:sz w:val="40"/>
                          <w:szCs w:val="40"/>
                          <w:lang w:val="fr-BE"/>
                        </w:rPr>
                        <w:t>Prescription en dénomination commune internationale (DCI)</w:t>
                      </w:r>
                    </w:p>
                    <w:p w14:paraId="3B61F9AA" w14:textId="38B3BF75" w:rsidR="00AB18A6" w:rsidRPr="00AB18A6" w:rsidRDefault="00AB18A6" w:rsidP="00AB18A6">
                      <w:pPr>
                        <w:spacing w:after="0" w:line="240" w:lineRule="auto"/>
                        <w:jc w:val="center"/>
                        <w:rPr>
                          <w:rFonts w:ascii="Verdana" w:hAnsi="Verdana"/>
                          <w:b/>
                          <w:bCs/>
                          <w:color w:val="729BC8"/>
                          <w:sz w:val="48"/>
                          <w:szCs w:val="48"/>
                          <w:lang w:val="fr-BE"/>
                        </w:rPr>
                      </w:pPr>
                    </w:p>
                    <w:p w14:paraId="135F2411" w14:textId="41CA17FF" w:rsidR="00AB18A6" w:rsidRPr="008C436F" w:rsidRDefault="00AB18A6" w:rsidP="00AB18A6">
                      <w:pPr>
                        <w:spacing w:after="0" w:line="240" w:lineRule="auto"/>
                        <w:jc w:val="center"/>
                        <w:rPr>
                          <w:rFonts w:ascii="Verdana" w:hAnsi="Verdana"/>
                          <w:b/>
                          <w:bCs/>
                          <w:sz w:val="24"/>
                          <w:szCs w:val="24"/>
                          <w:lang w:val="fr-BE"/>
                        </w:rPr>
                      </w:pPr>
                      <w:r w:rsidRPr="008C436F">
                        <w:rPr>
                          <w:rFonts w:ascii="Verdana" w:hAnsi="Verdana"/>
                          <w:b/>
                          <w:bCs/>
                          <w:sz w:val="24"/>
                          <w:szCs w:val="24"/>
                          <w:lang w:val="fr-BE"/>
                        </w:rPr>
                        <w:t xml:space="preserve">Règles opérationnelles pour la prescription en DCI dans la pratique médicale et pharmaceutique et dans le dossier médical électronique </w:t>
                      </w:r>
                    </w:p>
                    <w:p w14:paraId="01076530" w14:textId="77777777" w:rsidR="008C436F" w:rsidRPr="008C436F" w:rsidRDefault="008C436F" w:rsidP="00AB18A6">
                      <w:pPr>
                        <w:spacing w:after="0" w:line="240" w:lineRule="auto"/>
                        <w:jc w:val="center"/>
                        <w:rPr>
                          <w:rFonts w:ascii="Verdana" w:hAnsi="Verdana"/>
                          <w:b/>
                          <w:bCs/>
                          <w:sz w:val="24"/>
                          <w:szCs w:val="24"/>
                          <w:lang w:val="fr-BE"/>
                        </w:rPr>
                      </w:pPr>
                    </w:p>
                    <w:p w14:paraId="62C4B708" w14:textId="43F75C58" w:rsidR="00AB18A6" w:rsidRPr="008C436F" w:rsidRDefault="00AB18A6" w:rsidP="00AB18A6">
                      <w:pPr>
                        <w:spacing w:after="0" w:line="240" w:lineRule="auto"/>
                        <w:jc w:val="center"/>
                        <w:rPr>
                          <w:rFonts w:ascii="Verdana" w:hAnsi="Verdana"/>
                          <w:b/>
                          <w:bCs/>
                          <w:sz w:val="24"/>
                          <w:szCs w:val="24"/>
                          <w:lang w:val="fr-BE"/>
                        </w:rPr>
                      </w:pPr>
                      <w:r w:rsidRPr="008C436F">
                        <w:rPr>
                          <w:rFonts w:ascii="Verdana" w:hAnsi="Verdana"/>
                          <w:b/>
                          <w:bCs/>
                          <w:sz w:val="24"/>
                          <w:szCs w:val="24"/>
                          <w:lang w:val="fr-BE"/>
                        </w:rPr>
                        <w:t>Version 9</w:t>
                      </w:r>
                    </w:p>
                  </w:txbxContent>
                </v:textbox>
                <w10:wrap type="square" anchorx="margin"/>
              </v:shape>
            </w:pict>
          </mc:Fallback>
        </mc:AlternateContent>
      </w:r>
    </w:p>
    <w:p w14:paraId="66CAF0E0" w14:textId="7F40110A" w:rsidR="00F003B9" w:rsidRPr="008C436F" w:rsidRDefault="00F003B9" w:rsidP="008C436F">
      <w:pPr>
        <w:tabs>
          <w:tab w:val="left" w:pos="3493"/>
        </w:tabs>
        <w:spacing w:after="0" w:line="240" w:lineRule="auto"/>
        <w:jc w:val="center"/>
        <w:rPr>
          <w:rFonts w:ascii="Verdana" w:hAnsi="Verdana"/>
          <w:bCs/>
          <w:sz w:val="18"/>
          <w:szCs w:val="18"/>
          <w:lang w:val="fr-BE"/>
        </w:rPr>
      </w:pPr>
    </w:p>
    <w:p w14:paraId="7CA161DE" w14:textId="308ABEF0" w:rsidR="00F003B9" w:rsidRDefault="00F003B9" w:rsidP="008C436F">
      <w:pPr>
        <w:tabs>
          <w:tab w:val="left" w:pos="3493"/>
        </w:tabs>
        <w:spacing w:after="0" w:line="240" w:lineRule="auto"/>
        <w:jc w:val="center"/>
        <w:rPr>
          <w:rFonts w:ascii="Verdana" w:hAnsi="Verdana"/>
          <w:bCs/>
          <w:sz w:val="18"/>
          <w:szCs w:val="18"/>
          <w:lang w:val="fr-BE"/>
        </w:rPr>
      </w:pPr>
    </w:p>
    <w:p w14:paraId="55CBDB12" w14:textId="77777777" w:rsidR="006C7775" w:rsidRPr="008C436F" w:rsidRDefault="006C7775" w:rsidP="008C436F">
      <w:pPr>
        <w:tabs>
          <w:tab w:val="left" w:pos="3493"/>
        </w:tabs>
        <w:spacing w:after="0" w:line="240" w:lineRule="auto"/>
        <w:jc w:val="center"/>
        <w:rPr>
          <w:rFonts w:ascii="Verdana" w:hAnsi="Verdana"/>
          <w:bCs/>
          <w:sz w:val="18"/>
          <w:szCs w:val="18"/>
          <w:lang w:val="fr-BE"/>
        </w:rPr>
      </w:pPr>
    </w:p>
    <w:p w14:paraId="49E8E029" w14:textId="560D239A" w:rsidR="004B12FB" w:rsidRPr="008C436F" w:rsidRDefault="004B12FB" w:rsidP="008C436F">
      <w:pPr>
        <w:tabs>
          <w:tab w:val="left" w:pos="3493"/>
        </w:tabs>
        <w:spacing w:after="0" w:line="240" w:lineRule="auto"/>
        <w:jc w:val="center"/>
        <w:rPr>
          <w:rFonts w:ascii="Verdana" w:hAnsi="Verdana"/>
          <w:bCs/>
          <w:sz w:val="18"/>
          <w:szCs w:val="18"/>
          <w:lang w:val="fr-BE"/>
        </w:rPr>
      </w:pPr>
    </w:p>
    <w:p w14:paraId="59C9EF25" w14:textId="65065089" w:rsidR="004B12FB" w:rsidRPr="008C436F" w:rsidRDefault="004B12FB" w:rsidP="008C436F">
      <w:pPr>
        <w:tabs>
          <w:tab w:val="left" w:pos="3493"/>
        </w:tabs>
        <w:spacing w:after="0" w:line="240" w:lineRule="auto"/>
        <w:jc w:val="center"/>
        <w:rPr>
          <w:rFonts w:ascii="Verdana" w:hAnsi="Verdana"/>
          <w:bCs/>
          <w:sz w:val="18"/>
          <w:szCs w:val="18"/>
          <w:lang w:val="fr-BE"/>
        </w:rPr>
      </w:pPr>
    </w:p>
    <w:p w14:paraId="15C065EC" w14:textId="4057CD41" w:rsidR="004B12FB" w:rsidRPr="008C436F" w:rsidRDefault="004B12FB" w:rsidP="008C436F">
      <w:pPr>
        <w:tabs>
          <w:tab w:val="left" w:pos="3493"/>
        </w:tabs>
        <w:spacing w:after="0" w:line="240" w:lineRule="auto"/>
        <w:jc w:val="center"/>
        <w:rPr>
          <w:rFonts w:ascii="Verdana" w:hAnsi="Verdana"/>
          <w:bCs/>
          <w:sz w:val="18"/>
          <w:szCs w:val="18"/>
          <w:lang w:val="fr-BE"/>
        </w:rPr>
      </w:pPr>
    </w:p>
    <w:p w14:paraId="16D9CCFE" w14:textId="4FC54724" w:rsidR="004B12FB" w:rsidRPr="008C436F" w:rsidRDefault="004B12FB" w:rsidP="008C436F">
      <w:pPr>
        <w:tabs>
          <w:tab w:val="left" w:pos="3493"/>
        </w:tabs>
        <w:spacing w:after="0" w:line="240" w:lineRule="auto"/>
        <w:jc w:val="center"/>
        <w:rPr>
          <w:rFonts w:ascii="Verdana" w:hAnsi="Verdana"/>
          <w:bCs/>
          <w:sz w:val="18"/>
          <w:szCs w:val="18"/>
          <w:lang w:val="fr-BE"/>
        </w:rPr>
      </w:pPr>
    </w:p>
    <w:p w14:paraId="766BB772" w14:textId="7F24F052" w:rsidR="004B12FB" w:rsidRPr="008C436F" w:rsidRDefault="004B12FB" w:rsidP="008C436F">
      <w:pPr>
        <w:tabs>
          <w:tab w:val="left" w:pos="3493"/>
        </w:tabs>
        <w:spacing w:after="0" w:line="240" w:lineRule="auto"/>
        <w:jc w:val="center"/>
        <w:rPr>
          <w:rFonts w:ascii="Verdana" w:hAnsi="Verdana"/>
          <w:bCs/>
          <w:sz w:val="18"/>
          <w:szCs w:val="18"/>
          <w:lang w:val="fr-BE"/>
        </w:rPr>
      </w:pPr>
    </w:p>
    <w:tbl>
      <w:tblPr>
        <w:tblpPr w:leftFromText="180" w:rightFromText="180" w:vertAnchor="text" w:horzAnchor="margin" w:tblpXSpec="center" w:tblpY="634"/>
        <w:tblW w:w="9917" w:type="dxa"/>
        <w:tblLayout w:type="fixed"/>
        <w:tblCellMar>
          <w:left w:w="0" w:type="dxa"/>
          <w:right w:w="0" w:type="dxa"/>
        </w:tblCellMar>
        <w:tblLook w:val="0000" w:firstRow="0" w:lastRow="0" w:firstColumn="0" w:lastColumn="0" w:noHBand="0" w:noVBand="0"/>
      </w:tblPr>
      <w:tblGrid>
        <w:gridCol w:w="2144"/>
        <w:gridCol w:w="2136"/>
        <w:gridCol w:w="2136"/>
        <w:gridCol w:w="3501"/>
      </w:tblGrid>
      <w:tr w:rsidR="00AB18A6" w:rsidRPr="008C436F" w14:paraId="424DBF0A" w14:textId="77777777" w:rsidTr="008C436F">
        <w:trPr>
          <w:trHeight w:hRule="exact" w:val="235"/>
        </w:trPr>
        <w:tc>
          <w:tcPr>
            <w:tcW w:w="2144" w:type="dxa"/>
            <w:tcBorders>
              <w:top w:val="single" w:sz="5" w:space="0" w:color="000000"/>
              <w:left w:val="single" w:sz="5" w:space="0" w:color="000000"/>
              <w:bottom w:val="single" w:sz="5" w:space="0" w:color="000000"/>
              <w:right w:val="single" w:sz="5" w:space="0" w:color="000000"/>
            </w:tcBorders>
            <w:vAlign w:val="center"/>
          </w:tcPr>
          <w:p w14:paraId="501BA5B7" w14:textId="77777777" w:rsidR="00AB18A6" w:rsidRPr="008C436F" w:rsidRDefault="00AB18A6" w:rsidP="008C436F">
            <w:pPr>
              <w:spacing w:after="0" w:line="240" w:lineRule="auto"/>
              <w:ind w:left="124"/>
              <w:textAlignment w:val="baseline"/>
              <w:rPr>
                <w:rFonts w:ascii="Verdana" w:eastAsia="Verdana" w:hAnsi="Verdana"/>
                <w:b/>
                <w:color w:val="000000"/>
                <w:sz w:val="18"/>
                <w:szCs w:val="18"/>
                <w:lang w:val="fr-BE"/>
              </w:rPr>
            </w:pPr>
            <w:r w:rsidRPr="008C436F">
              <w:rPr>
                <w:rFonts w:ascii="Verdana" w:eastAsia="Verdana" w:hAnsi="Verdana"/>
                <w:b/>
                <w:color w:val="000000"/>
                <w:sz w:val="18"/>
                <w:szCs w:val="18"/>
                <w:lang w:val="fr-BE"/>
              </w:rPr>
              <w:t>Date</w:t>
            </w:r>
          </w:p>
        </w:tc>
        <w:tc>
          <w:tcPr>
            <w:tcW w:w="2136" w:type="dxa"/>
            <w:tcBorders>
              <w:top w:val="single" w:sz="5" w:space="0" w:color="000000"/>
              <w:left w:val="single" w:sz="5" w:space="0" w:color="000000"/>
              <w:bottom w:val="single" w:sz="5" w:space="0" w:color="000000"/>
              <w:right w:val="single" w:sz="5" w:space="0" w:color="000000"/>
            </w:tcBorders>
            <w:vAlign w:val="center"/>
          </w:tcPr>
          <w:p w14:paraId="4FB148A1" w14:textId="77777777" w:rsidR="00AB18A6" w:rsidRPr="008C436F" w:rsidRDefault="00AB18A6" w:rsidP="008C436F">
            <w:pPr>
              <w:spacing w:after="0" w:line="240" w:lineRule="auto"/>
              <w:ind w:left="110"/>
              <w:textAlignment w:val="baseline"/>
              <w:rPr>
                <w:rFonts w:ascii="Verdana" w:eastAsia="Verdana" w:hAnsi="Verdana"/>
                <w:b/>
                <w:color w:val="000000"/>
                <w:sz w:val="18"/>
                <w:szCs w:val="18"/>
                <w:lang w:val="fr-BE"/>
              </w:rPr>
            </w:pPr>
            <w:r w:rsidRPr="008C436F">
              <w:rPr>
                <w:rFonts w:ascii="Verdana" w:eastAsia="Verdana" w:hAnsi="Verdana"/>
                <w:b/>
                <w:color w:val="000000"/>
                <w:sz w:val="18"/>
                <w:szCs w:val="18"/>
                <w:lang w:val="fr-BE"/>
              </w:rPr>
              <w:t>Auteur</w:t>
            </w:r>
          </w:p>
        </w:tc>
        <w:tc>
          <w:tcPr>
            <w:tcW w:w="2136" w:type="dxa"/>
            <w:tcBorders>
              <w:top w:val="single" w:sz="5" w:space="0" w:color="000000"/>
              <w:left w:val="single" w:sz="5" w:space="0" w:color="000000"/>
              <w:bottom w:val="single" w:sz="5" w:space="0" w:color="000000"/>
              <w:right w:val="single" w:sz="5" w:space="0" w:color="000000"/>
            </w:tcBorders>
            <w:vAlign w:val="center"/>
          </w:tcPr>
          <w:p w14:paraId="5F3C1896" w14:textId="77777777" w:rsidR="00AB18A6" w:rsidRPr="008C436F" w:rsidRDefault="00AB18A6" w:rsidP="008C436F">
            <w:pPr>
              <w:spacing w:after="0" w:line="240" w:lineRule="auto"/>
              <w:ind w:left="110"/>
              <w:textAlignment w:val="baseline"/>
              <w:rPr>
                <w:rFonts w:ascii="Verdana" w:eastAsia="Verdana" w:hAnsi="Verdana"/>
                <w:b/>
                <w:color w:val="000000"/>
                <w:sz w:val="18"/>
                <w:szCs w:val="18"/>
                <w:lang w:val="fr-BE"/>
              </w:rPr>
            </w:pPr>
            <w:r w:rsidRPr="008C436F">
              <w:rPr>
                <w:rFonts w:ascii="Verdana" w:eastAsia="Verdana" w:hAnsi="Verdana"/>
                <w:b/>
                <w:color w:val="000000"/>
                <w:sz w:val="18"/>
                <w:szCs w:val="18"/>
                <w:lang w:val="fr-BE"/>
              </w:rPr>
              <w:t>Version</w:t>
            </w:r>
          </w:p>
        </w:tc>
        <w:tc>
          <w:tcPr>
            <w:tcW w:w="3501" w:type="dxa"/>
            <w:tcBorders>
              <w:top w:val="single" w:sz="5" w:space="0" w:color="000000"/>
              <w:left w:val="single" w:sz="5" w:space="0" w:color="000000"/>
              <w:bottom w:val="single" w:sz="5" w:space="0" w:color="000000"/>
              <w:right w:val="single" w:sz="5" w:space="0" w:color="000000"/>
            </w:tcBorders>
            <w:vAlign w:val="center"/>
          </w:tcPr>
          <w:p w14:paraId="1F881301" w14:textId="77777777" w:rsidR="00AB18A6" w:rsidRPr="008C436F" w:rsidRDefault="00AB18A6" w:rsidP="008C436F">
            <w:pPr>
              <w:spacing w:after="0" w:line="240" w:lineRule="auto"/>
              <w:ind w:left="110"/>
              <w:textAlignment w:val="baseline"/>
              <w:rPr>
                <w:rFonts w:ascii="Verdana" w:eastAsia="Verdana" w:hAnsi="Verdana"/>
                <w:b/>
                <w:color w:val="000000"/>
                <w:sz w:val="18"/>
                <w:szCs w:val="18"/>
                <w:lang w:val="fr-BE"/>
              </w:rPr>
            </w:pPr>
            <w:r w:rsidRPr="008C436F">
              <w:rPr>
                <w:rFonts w:ascii="Verdana" w:eastAsia="Verdana" w:hAnsi="Verdana"/>
                <w:b/>
                <w:color w:val="000000"/>
                <w:sz w:val="18"/>
                <w:szCs w:val="18"/>
                <w:lang w:val="fr-BE"/>
              </w:rPr>
              <w:t>Notes</w:t>
            </w:r>
          </w:p>
        </w:tc>
      </w:tr>
      <w:tr w:rsidR="00AB18A6" w:rsidRPr="008C436F" w14:paraId="38811A4B" w14:textId="77777777" w:rsidTr="008C436F">
        <w:trPr>
          <w:trHeight w:hRule="exact" w:val="231"/>
        </w:trPr>
        <w:tc>
          <w:tcPr>
            <w:tcW w:w="2144" w:type="dxa"/>
            <w:tcBorders>
              <w:top w:val="single" w:sz="5" w:space="0" w:color="000000"/>
              <w:left w:val="single" w:sz="5" w:space="0" w:color="000000"/>
              <w:bottom w:val="single" w:sz="5" w:space="0" w:color="000000"/>
              <w:right w:val="single" w:sz="5" w:space="0" w:color="000000"/>
            </w:tcBorders>
            <w:vAlign w:val="center"/>
          </w:tcPr>
          <w:p w14:paraId="3BA6CCE2"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10.03.2010</w:t>
            </w:r>
          </w:p>
        </w:tc>
        <w:tc>
          <w:tcPr>
            <w:tcW w:w="2136" w:type="dxa"/>
            <w:tcBorders>
              <w:top w:val="single" w:sz="5" w:space="0" w:color="000000"/>
              <w:left w:val="single" w:sz="5" w:space="0" w:color="000000"/>
              <w:bottom w:val="single" w:sz="5" w:space="0" w:color="000000"/>
              <w:right w:val="single" w:sz="5" w:space="0" w:color="000000"/>
            </w:tcBorders>
            <w:vAlign w:val="center"/>
          </w:tcPr>
          <w:p w14:paraId="090EC34F"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Groupe de travail</w:t>
            </w:r>
          </w:p>
        </w:tc>
        <w:tc>
          <w:tcPr>
            <w:tcW w:w="2136" w:type="dxa"/>
            <w:tcBorders>
              <w:top w:val="single" w:sz="5" w:space="0" w:color="000000"/>
              <w:left w:val="single" w:sz="5" w:space="0" w:color="000000"/>
              <w:bottom w:val="single" w:sz="5" w:space="0" w:color="000000"/>
              <w:right w:val="single" w:sz="5" w:space="0" w:color="000000"/>
            </w:tcBorders>
            <w:vAlign w:val="center"/>
          </w:tcPr>
          <w:p w14:paraId="166772F0"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Version 1</w:t>
            </w:r>
          </w:p>
        </w:tc>
        <w:tc>
          <w:tcPr>
            <w:tcW w:w="3501" w:type="dxa"/>
            <w:tcBorders>
              <w:top w:val="single" w:sz="5" w:space="0" w:color="000000"/>
              <w:left w:val="single" w:sz="5" w:space="0" w:color="000000"/>
              <w:bottom w:val="single" w:sz="5" w:space="0" w:color="000000"/>
              <w:right w:val="single" w:sz="5" w:space="0" w:color="000000"/>
            </w:tcBorders>
            <w:vAlign w:val="center"/>
          </w:tcPr>
          <w:p w14:paraId="19B10E5F" w14:textId="619C7A3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 xml:space="preserve">Site internet </w:t>
            </w:r>
            <w:r w:rsidR="008C436F" w:rsidRPr="008C436F">
              <w:rPr>
                <w:rFonts w:ascii="Verdana" w:eastAsia="Verdana" w:hAnsi="Verdana"/>
                <w:color w:val="000000"/>
                <w:sz w:val="18"/>
                <w:szCs w:val="18"/>
                <w:lang w:val="fr-BE"/>
              </w:rPr>
              <w:t>de l’</w:t>
            </w:r>
            <w:r w:rsidRPr="008C436F">
              <w:rPr>
                <w:rFonts w:ascii="Verdana" w:eastAsia="Verdana" w:hAnsi="Verdana"/>
                <w:color w:val="000000"/>
                <w:sz w:val="18"/>
                <w:szCs w:val="18"/>
                <w:lang w:val="fr-BE"/>
              </w:rPr>
              <w:t>AFMPS</w:t>
            </w:r>
          </w:p>
        </w:tc>
      </w:tr>
      <w:tr w:rsidR="00AB18A6" w:rsidRPr="008C436F" w14:paraId="606B1FDF" w14:textId="77777777" w:rsidTr="008C436F">
        <w:trPr>
          <w:trHeight w:hRule="exact" w:val="225"/>
        </w:trPr>
        <w:tc>
          <w:tcPr>
            <w:tcW w:w="2144" w:type="dxa"/>
            <w:tcBorders>
              <w:top w:val="single" w:sz="5" w:space="0" w:color="000000"/>
              <w:left w:val="single" w:sz="5" w:space="0" w:color="000000"/>
              <w:bottom w:val="single" w:sz="5" w:space="0" w:color="000000"/>
              <w:right w:val="single" w:sz="5" w:space="0" w:color="000000"/>
            </w:tcBorders>
            <w:vAlign w:val="center"/>
          </w:tcPr>
          <w:p w14:paraId="4BDA8989"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09.12.2011</w:t>
            </w:r>
          </w:p>
        </w:tc>
        <w:tc>
          <w:tcPr>
            <w:tcW w:w="2136" w:type="dxa"/>
            <w:tcBorders>
              <w:top w:val="single" w:sz="5" w:space="0" w:color="000000"/>
              <w:left w:val="single" w:sz="5" w:space="0" w:color="000000"/>
              <w:bottom w:val="single" w:sz="5" w:space="0" w:color="000000"/>
              <w:right w:val="single" w:sz="5" w:space="0" w:color="000000"/>
            </w:tcBorders>
            <w:vAlign w:val="center"/>
          </w:tcPr>
          <w:p w14:paraId="19DB21E4"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Groupe de travail</w:t>
            </w:r>
          </w:p>
        </w:tc>
        <w:tc>
          <w:tcPr>
            <w:tcW w:w="2136" w:type="dxa"/>
            <w:tcBorders>
              <w:top w:val="single" w:sz="5" w:space="0" w:color="000000"/>
              <w:left w:val="single" w:sz="5" w:space="0" w:color="000000"/>
              <w:bottom w:val="single" w:sz="5" w:space="0" w:color="000000"/>
              <w:right w:val="single" w:sz="5" w:space="0" w:color="000000"/>
            </w:tcBorders>
            <w:vAlign w:val="center"/>
          </w:tcPr>
          <w:p w14:paraId="06AFE87F"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Version 2</w:t>
            </w:r>
          </w:p>
        </w:tc>
        <w:tc>
          <w:tcPr>
            <w:tcW w:w="3501" w:type="dxa"/>
            <w:tcBorders>
              <w:top w:val="single" w:sz="5" w:space="0" w:color="000000"/>
              <w:left w:val="single" w:sz="5" w:space="0" w:color="000000"/>
              <w:bottom w:val="single" w:sz="5" w:space="0" w:color="000000"/>
              <w:right w:val="single" w:sz="5" w:space="0" w:color="000000"/>
            </w:tcBorders>
            <w:vAlign w:val="center"/>
          </w:tcPr>
          <w:p w14:paraId="2576FA40"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Sections 5.1, 6.1 et 8</w:t>
            </w:r>
          </w:p>
        </w:tc>
      </w:tr>
      <w:tr w:rsidR="00AB18A6" w:rsidRPr="008C436F" w14:paraId="6AD11F45" w14:textId="77777777" w:rsidTr="008C436F">
        <w:trPr>
          <w:trHeight w:hRule="exact" w:val="231"/>
        </w:trPr>
        <w:tc>
          <w:tcPr>
            <w:tcW w:w="2144" w:type="dxa"/>
            <w:tcBorders>
              <w:top w:val="single" w:sz="5" w:space="0" w:color="000000"/>
              <w:left w:val="single" w:sz="5" w:space="0" w:color="000000"/>
              <w:bottom w:val="single" w:sz="5" w:space="0" w:color="000000"/>
              <w:right w:val="single" w:sz="5" w:space="0" w:color="000000"/>
            </w:tcBorders>
          </w:tcPr>
          <w:p w14:paraId="08B297D0"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hAnsi="Verdana"/>
                <w:sz w:val="18"/>
                <w:szCs w:val="18"/>
                <w:lang w:val="fr-BE"/>
              </w:rPr>
              <w:t>16.05.2014</w:t>
            </w:r>
          </w:p>
        </w:tc>
        <w:tc>
          <w:tcPr>
            <w:tcW w:w="2136" w:type="dxa"/>
            <w:tcBorders>
              <w:top w:val="single" w:sz="5" w:space="0" w:color="000000"/>
              <w:left w:val="single" w:sz="5" w:space="0" w:color="000000"/>
              <w:bottom w:val="single" w:sz="5" w:space="0" w:color="000000"/>
              <w:right w:val="single" w:sz="5" w:space="0" w:color="000000"/>
            </w:tcBorders>
          </w:tcPr>
          <w:p w14:paraId="4676CC52"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AFMPS</w:t>
            </w:r>
          </w:p>
        </w:tc>
        <w:tc>
          <w:tcPr>
            <w:tcW w:w="2136" w:type="dxa"/>
            <w:tcBorders>
              <w:top w:val="single" w:sz="5" w:space="0" w:color="000000"/>
              <w:left w:val="single" w:sz="5" w:space="0" w:color="000000"/>
              <w:bottom w:val="single" w:sz="5" w:space="0" w:color="000000"/>
              <w:right w:val="single" w:sz="5" w:space="0" w:color="000000"/>
            </w:tcBorders>
          </w:tcPr>
          <w:p w14:paraId="568943C0"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Version 3</w:t>
            </w:r>
          </w:p>
        </w:tc>
        <w:tc>
          <w:tcPr>
            <w:tcW w:w="3501" w:type="dxa"/>
            <w:tcBorders>
              <w:top w:val="single" w:sz="5" w:space="0" w:color="000000"/>
              <w:left w:val="single" w:sz="5" w:space="0" w:color="000000"/>
              <w:bottom w:val="single" w:sz="5" w:space="0" w:color="000000"/>
              <w:right w:val="single" w:sz="5" w:space="0" w:color="000000"/>
            </w:tcBorders>
          </w:tcPr>
          <w:p w14:paraId="6AF8EE0B"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Section 6.1.2</w:t>
            </w:r>
          </w:p>
        </w:tc>
      </w:tr>
      <w:tr w:rsidR="00AB18A6" w:rsidRPr="008C436F" w14:paraId="7945F5A0" w14:textId="77777777" w:rsidTr="008C436F">
        <w:trPr>
          <w:trHeight w:hRule="exact" w:val="230"/>
        </w:trPr>
        <w:tc>
          <w:tcPr>
            <w:tcW w:w="2144" w:type="dxa"/>
            <w:tcBorders>
              <w:top w:val="single" w:sz="5" w:space="0" w:color="000000"/>
              <w:left w:val="single" w:sz="5" w:space="0" w:color="000000"/>
              <w:bottom w:val="single" w:sz="5" w:space="0" w:color="000000"/>
              <w:right w:val="single" w:sz="5" w:space="0" w:color="000000"/>
            </w:tcBorders>
          </w:tcPr>
          <w:p w14:paraId="73A97CE5"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hAnsi="Verdana"/>
                <w:sz w:val="18"/>
                <w:szCs w:val="18"/>
                <w:lang w:val="fr-BE"/>
              </w:rPr>
              <w:t>18.03.2015</w:t>
            </w:r>
          </w:p>
        </w:tc>
        <w:tc>
          <w:tcPr>
            <w:tcW w:w="2136" w:type="dxa"/>
            <w:tcBorders>
              <w:top w:val="single" w:sz="5" w:space="0" w:color="000000"/>
              <w:left w:val="single" w:sz="5" w:space="0" w:color="000000"/>
              <w:bottom w:val="single" w:sz="5" w:space="0" w:color="000000"/>
              <w:right w:val="single" w:sz="5" w:space="0" w:color="000000"/>
            </w:tcBorders>
          </w:tcPr>
          <w:p w14:paraId="48294D82"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CBIP</w:t>
            </w:r>
          </w:p>
        </w:tc>
        <w:tc>
          <w:tcPr>
            <w:tcW w:w="2136" w:type="dxa"/>
            <w:tcBorders>
              <w:top w:val="single" w:sz="5" w:space="0" w:color="000000"/>
              <w:left w:val="single" w:sz="5" w:space="0" w:color="000000"/>
              <w:bottom w:val="single" w:sz="5" w:space="0" w:color="000000"/>
              <w:right w:val="single" w:sz="5" w:space="0" w:color="000000"/>
            </w:tcBorders>
          </w:tcPr>
          <w:p w14:paraId="738F58DA"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Version 4</w:t>
            </w:r>
          </w:p>
        </w:tc>
        <w:tc>
          <w:tcPr>
            <w:tcW w:w="3501" w:type="dxa"/>
            <w:tcBorders>
              <w:top w:val="single" w:sz="5" w:space="0" w:color="000000"/>
              <w:left w:val="single" w:sz="5" w:space="0" w:color="000000"/>
              <w:bottom w:val="single" w:sz="5" w:space="0" w:color="000000"/>
              <w:right w:val="single" w:sz="5" w:space="0" w:color="000000"/>
            </w:tcBorders>
          </w:tcPr>
          <w:p w14:paraId="5D50A139"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Groupes DCI</w:t>
            </w:r>
          </w:p>
        </w:tc>
      </w:tr>
      <w:tr w:rsidR="00AB18A6" w:rsidRPr="008C436F" w14:paraId="1F7F3EF3" w14:textId="77777777" w:rsidTr="008C436F">
        <w:trPr>
          <w:trHeight w:hRule="exact" w:val="226"/>
        </w:trPr>
        <w:tc>
          <w:tcPr>
            <w:tcW w:w="2144" w:type="dxa"/>
            <w:tcBorders>
              <w:top w:val="single" w:sz="5" w:space="0" w:color="000000"/>
              <w:left w:val="single" w:sz="5" w:space="0" w:color="000000"/>
              <w:bottom w:val="single" w:sz="5" w:space="0" w:color="000000"/>
              <w:right w:val="single" w:sz="5" w:space="0" w:color="000000"/>
            </w:tcBorders>
          </w:tcPr>
          <w:p w14:paraId="0BECE6E0"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hAnsi="Verdana"/>
                <w:sz w:val="18"/>
                <w:szCs w:val="18"/>
                <w:lang w:val="fr-BE"/>
              </w:rPr>
              <w:t>13.08.2015</w:t>
            </w:r>
          </w:p>
        </w:tc>
        <w:tc>
          <w:tcPr>
            <w:tcW w:w="2136" w:type="dxa"/>
            <w:tcBorders>
              <w:top w:val="single" w:sz="5" w:space="0" w:color="000000"/>
              <w:left w:val="single" w:sz="5" w:space="0" w:color="000000"/>
              <w:bottom w:val="single" w:sz="5" w:space="0" w:color="000000"/>
              <w:right w:val="single" w:sz="5" w:space="0" w:color="000000"/>
            </w:tcBorders>
          </w:tcPr>
          <w:p w14:paraId="1A61DAA5"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CBIP-AFMPS</w:t>
            </w:r>
          </w:p>
        </w:tc>
        <w:tc>
          <w:tcPr>
            <w:tcW w:w="2136" w:type="dxa"/>
            <w:tcBorders>
              <w:top w:val="single" w:sz="5" w:space="0" w:color="000000"/>
              <w:left w:val="single" w:sz="5" w:space="0" w:color="000000"/>
              <w:bottom w:val="single" w:sz="5" w:space="0" w:color="000000"/>
              <w:right w:val="single" w:sz="5" w:space="0" w:color="000000"/>
            </w:tcBorders>
          </w:tcPr>
          <w:p w14:paraId="370DB96B"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Version 5</w:t>
            </w:r>
          </w:p>
        </w:tc>
        <w:tc>
          <w:tcPr>
            <w:tcW w:w="3501" w:type="dxa"/>
            <w:tcBorders>
              <w:top w:val="single" w:sz="5" w:space="0" w:color="000000"/>
              <w:left w:val="single" w:sz="5" w:space="0" w:color="000000"/>
              <w:bottom w:val="single" w:sz="5" w:space="0" w:color="000000"/>
              <w:right w:val="single" w:sz="5" w:space="0" w:color="000000"/>
            </w:tcBorders>
          </w:tcPr>
          <w:p w14:paraId="248F10AB"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Vaccins influenza</w:t>
            </w:r>
          </w:p>
        </w:tc>
      </w:tr>
      <w:tr w:rsidR="00AB18A6" w:rsidRPr="008C436F" w14:paraId="058C7E6F" w14:textId="77777777" w:rsidTr="008C436F">
        <w:trPr>
          <w:trHeight w:hRule="exact" w:val="230"/>
        </w:trPr>
        <w:tc>
          <w:tcPr>
            <w:tcW w:w="2144" w:type="dxa"/>
            <w:tcBorders>
              <w:top w:val="single" w:sz="5" w:space="0" w:color="000000"/>
              <w:left w:val="single" w:sz="5" w:space="0" w:color="000000"/>
              <w:bottom w:val="single" w:sz="5" w:space="0" w:color="000000"/>
              <w:right w:val="single" w:sz="5" w:space="0" w:color="000000"/>
            </w:tcBorders>
          </w:tcPr>
          <w:p w14:paraId="6F9EA70C"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hAnsi="Verdana"/>
                <w:sz w:val="18"/>
                <w:szCs w:val="18"/>
                <w:lang w:val="fr-BE"/>
              </w:rPr>
              <w:t>29.01.2016</w:t>
            </w:r>
          </w:p>
        </w:tc>
        <w:tc>
          <w:tcPr>
            <w:tcW w:w="2136" w:type="dxa"/>
            <w:tcBorders>
              <w:top w:val="single" w:sz="5" w:space="0" w:color="000000"/>
              <w:left w:val="single" w:sz="5" w:space="0" w:color="000000"/>
              <w:bottom w:val="single" w:sz="5" w:space="0" w:color="000000"/>
              <w:right w:val="single" w:sz="5" w:space="0" w:color="000000"/>
            </w:tcBorders>
          </w:tcPr>
          <w:p w14:paraId="347B6F19"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CBIP-AFMPS</w:t>
            </w:r>
          </w:p>
        </w:tc>
        <w:tc>
          <w:tcPr>
            <w:tcW w:w="2136" w:type="dxa"/>
            <w:tcBorders>
              <w:top w:val="single" w:sz="5" w:space="0" w:color="000000"/>
              <w:left w:val="single" w:sz="5" w:space="0" w:color="000000"/>
              <w:bottom w:val="single" w:sz="5" w:space="0" w:color="000000"/>
              <w:right w:val="single" w:sz="5" w:space="0" w:color="000000"/>
            </w:tcBorders>
          </w:tcPr>
          <w:p w14:paraId="7E61CFBF"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Version 6</w:t>
            </w:r>
          </w:p>
        </w:tc>
        <w:tc>
          <w:tcPr>
            <w:tcW w:w="3501" w:type="dxa"/>
            <w:tcBorders>
              <w:top w:val="single" w:sz="5" w:space="0" w:color="000000"/>
              <w:left w:val="single" w:sz="5" w:space="0" w:color="000000"/>
              <w:bottom w:val="single" w:sz="5" w:space="0" w:color="000000"/>
              <w:right w:val="single" w:sz="5" w:space="0" w:color="000000"/>
            </w:tcBorders>
          </w:tcPr>
          <w:p w14:paraId="096BBF09"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Stupéfiants</w:t>
            </w:r>
          </w:p>
        </w:tc>
      </w:tr>
      <w:tr w:rsidR="00AB18A6" w:rsidRPr="008C436F" w14:paraId="71D35061" w14:textId="77777777" w:rsidTr="008C436F">
        <w:trPr>
          <w:trHeight w:hRule="exact" w:val="235"/>
        </w:trPr>
        <w:tc>
          <w:tcPr>
            <w:tcW w:w="2144" w:type="dxa"/>
            <w:tcBorders>
              <w:top w:val="single" w:sz="5" w:space="0" w:color="000000"/>
              <w:left w:val="single" w:sz="5" w:space="0" w:color="000000"/>
              <w:bottom w:val="single" w:sz="5" w:space="0" w:color="000000"/>
              <w:right w:val="single" w:sz="5" w:space="0" w:color="000000"/>
            </w:tcBorders>
          </w:tcPr>
          <w:p w14:paraId="79DB2AB5"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hAnsi="Verdana"/>
                <w:sz w:val="18"/>
                <w:szCs w:val="18"/>
                <w:lang w:val="fr-BE"/>
              </w:rPr>
              <w:t>20.07.2018</w:t>
            </w:r>
          </w:p>
        </w:tc>
        <w:tc>
          <w:tcPr>
            <w:tcW w:w="2136" w:type="dxa"/>
            <w:tcBorders>
              <w:top w:val="single" w:sz="5" w:space="0" w:color="000000"/>
              <w:left w:val="single" w:sz="5" w:space="0" w:color="000000"/>
              <w:bottom w:val="single" w:sz="5" w:space="0" w:color="000000"/>
              <w:right w:val="single" w:sz="5" w:space="0" w:color="000000"/>
            </w:tcBorders>
          </w:tcPr>
          <w:p w14:paraId="68025F68"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CBIP-AFMPS</w:t>
            </w:r>
          </w:p>
        </w:tc>
        <w:tc>
          <w:tcPr>
            <w:tcW w:w="2136" w:type="dxa"/>
            <w:tcBorders>
              <w:top w:val="single" w:sz="5" w:space="0" w:color="000000"/>
              <w:left w:val="single" w:sz="5" w:space="0" w:color="000000"/>
              <w:bottom w:val="single" w:sz="5" w:space="0" w:color="000000"/>
              <w:right w:val="single" w:sz="5" w:space="0" w:color="000000"/>
            </w:tcBorders>
          </w:tcPr>
          <w:p w14:paraId="3E130A26"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Version 7</w:t>
            </w:r>
          </w:p>
        </w:tc>
        <w:tc>
          <w:tcPr>
            <w:tcW w:w="3501" w:type="dxa"/>
            <w:tcBorders>
              <w:top w:val="single" w:sz="5" w:space="0" w:color="000000"/>
              <w:left w:val="single" w:sz="5" w:space="0" w:color="000000"/>
              <w:bottom w:val="single" w:sz="5" w:space="0" w:color="000000"/>
              <w:right w:val="single" w:sz="5" w:space="0" w:color="000000"/>
            </w:tcBorders>
          </w:tcPr>
          <w:p w14:paraId="7B7926D2"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Section 5.2 - NBCD</w:t>
            </w:r>
          </w:p>
        </w:tc>
      </w:tr>
      <w:tr w:rsidR="00AB18A6" w:rsidRPr="008C436F" w14:paraId="2C0466E0" w14:textId="77777777" w:rsidTr="008C436F">
        <w:trPr>
          <w:trHeight w:hRule="exact" w:val="235"/>
        </w:trPr>
        <w:tc>
          <w:tcPr>
            <w:tcW w:w="2144" w:type="dxa"/>
            <w:tcBorders>
              <w:top w:val="single" w:sz="5" w:space="0" w:color="000000"/>
              <w:left w:val="single" w:sz="5" w:space="0" w:color="000000"/>
              <w:bottom w:val="single" w:sz="5" w:space="0" w:color="000000"/>
              <w:right w:val="single" w:sz="5" w:space="0" w:color="000000"/>
            </w:tcBorders>
          </w:tcPr>
          <w:p w14:paraId="52BF9073" w14:textId="77777777"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hAnsi="Verdana"/>
                <w:sz w:val="18"/>
                <w:szCs w:val="18"/>
                <w:lang w:val="fr-BE"/>
              </w:rPr>
              <w:t>31.01.2020</w:t>
            </w:r>
          </w:p>
        </w:tc>
        <w:tc>
          <w:tcPr>
            <w:tcW w:w="2136" w:type="dxa"/>
            <w:tcBorders>
              <w:top w:val="single" w:sz="5" w:space="0" w:color="000000"/>
              <w:left w:val="single" w:sz="5" w:space="0" w:color="000000"/>
              <w:bottom w:val="single" w:sz="5" w:space="0" w:color="000000"/>
              <w:right w:val="single" w:sz="5" w:space="0" w:color="000000"/>
            </w:tcBorders>
          </w:tcPr>
          <w:p w14:paraId="1A156552"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CBIP-AFMPS</w:t>
            </w:r>
          </w:p>
        </w:tc>
        <w:tc>
          <w:tcPr>
            <w:tcW w:w="2136" w:type="dxa"/>
            <w:tcBorders>
              <w:top w:val="single" w:sz="5" w:space="0" w:color="000000"/>
              <w:left w:val="single" w:sz="5" w:space="0" w:color="000000"/>
              <w:bottom w:val="single" w:sz="5" w:space="0" w:color="000000"/>
              <w:right w:val="single" w:sz="5" w:space="0" w:color="000000"/>
            </w:tcBorders>
          </w:tcPr>
          <w:p w14:paraId="41DCB096"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 xml:space="preserve">Version 8 </w:t>
            </w:r>
          </w:p>
        </w:tc>
        <w:tc>
          <w:tcPr>
            <w:tcW w:w="3501" w:type="dxa"/>
            <w:tcBorders>
              <w:top w:val="single" w:sz="5" w:space="0" w:color="000000"/>
              <w:left w:val="single" w:sz="5" w:space="0" w:color="000000"/>
              <w:bottom w:val="single" w:sz="5" w:space="0" w:color="000000"/>
              <w:right w:val="single" w:sz="5" w:space="0" w:color="000000"/>
            </w:tcBorders>
          </w:tcPr>
          <w:p w14:paraId="4A6F545E"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hAnsi="Verdana"/>
                <w:sz w:val="18"/>
                <w:szCs w:val="18"/>
                <w:lang w:val="fr-BE"/>
              </w:rPr>
              <w:t>Section 7 – No Switch</w:t>
            </w:r>
          </w:p>
        </w:tc>
      </w:tr>
      <w:tr w:rsidR="00AB18A6" w:rsidRPr="008C436F" w14:paraId="77B76599" w14:textId="77777777" w:rsidTr="008C436F">
        <w:trPr>
          <w:trHeight w:hRule="exact" w:val="235"/>
        </w:trPr>
        <w:tc>
          <w:tcPr>
            <w:tcW w:w="2144" w:type="dxa"/>
            <w:tcBorders>
              <w:top w:val="single" w:sz="5" w:space="0" w:color="000000"/>
              <w:left w:val="single" w:sz="5" w:space="0" w:color="000000"/>
              <w:bottom w:val="single" w:sz="5" w:space="0" w:color="000000"/>
              <w:right w:val="single" w:sz="5" w:space="0" w:color="000000"/>
            </w:tcBorders>
            <w:vAlign w:val="center"/>
          </w:tcPr>
          <w:p w14:paraId="3FEB7937" w14:textId="697D42F0" w:rsidR="00AB18A6" w:rsidRPr="008C436F" w:rsidRDefault="00AB18A6" w:rsidP="008C436F">
            <w:pPr>
              <w:spacing w:after="0" w:line="240" w:lineRule="auto"/>
              <w:ind w:left="124"/>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07</w:t>
            </w:r>
            <w:r w:rsidR="008C436F" w:rsidRPr="008C436F">
              <w:rPr>
                <w:rFonts w:ascii="Verdana" w:eastAsia="Verdana" w:hAnsi="Verdana"/>
                <w:color w:val="000000"/>
                <w:sz w:val="18"/>
                <w:szCs w:val="18"/>
                <w:lang w:val="fr-BE"/>
              </w:rPr>
              <w:t>.</w:t>
            </w:r>
            <w:r w:rsidRPr="008C436F">
              <w:rPr>
                <w:rFonts w:ascii="Verdana" w:eastAsia="Verdana" w:hAnsi="Verdana"/>
                <w:color w:val="000000"/>
                <w:sz w:val="18"/>
                <w:szCs w:val="18"/>
                <w:lang w:val="fr-BE"/>
              </w:rPr>
              <w:t>07</w:t>
            </w:r>
            <w:r w:rsidR="008C436F" w:rsidRPr="008C436F">
              <w:rPr>
                <w:rFonts w:ascii="Verdana" w:eastAsia="Verdana" w:hAnsi="Verdana"/>
                <w:color w:val="000000"/>
                <w:sz w:val="18"/>
                <w:szCs w:val="18"/>
                <w:lang w:val="fr-BE"/>
              </w:rPr>
              <w:t>.</w:t>
            </w:r>
            <w:r w:rsidRPr="008C436F">
              <w:rPr>
                <w:rFonts w:ascii="Verdana" w:eastAsia="Verdana" w:hAnsi="Verdana"/>
                <w:color w:val="000000"/>
                <w:sz w:val="18"/>
                <w:szCs w:val="18"/>
                <w:lang w:val="fr-BE"/>
              </w:rPr>
              <w:t xml:space="preserve">2023 </w:t>
            </w:r>
          </w:p>
        </w:tc>
        <w:tc>
          <w:tcPr>
            <w:tcW w:w="2136" w:type="dxa"/>
            <w:tcBorders>
              <w:top w:val="single" w:sz="5" w:space="0" w:color="000000"/>
              <w:left w:val="single" w:sz="5" w:space="0" w:color="000000"/>
              <w:bottom w:val="single" w:sz="5" w:space="0" w:color="000000"/>
              <w:right w:val="single" w:sz="5" w:space="0" w:color="000000"/>
            </w:tcBorders>
            <w:vAlign w:val="center"/>
          </w:tcPr>
          <w:p w14:paraId="479604A7"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AFMPS</w:t>
            </w:r>
          </w:p>
        </w:tc>
        <w:tc>
          <w:tcPr>
            <w:tcW w:w="2136" w:type="dxa"/>
            <w:tcBorders>
              <w:top w:val="single" w:sz="5" w:space="0" w:color="000000"/>
              <w:left w:val="single" w:sz="5" w:space="0" w:color="000000"/>
              <w:bottom w:val="single" w:sz="5" w:space="0" w:color="000000"/>
              <w:right w:val="single" w:sz="5" w:space="0" w:color="000000"/>
            </w:tcBorders>
            <w:vAlign w:val="center"/>
          </w:tcPr>
          <w:p w14:paraId="613D540E" w14:textId="77777777"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 xml:space="preserve">Version 9 </w:t>
            </w:r>
          </w:p>
        </w:tc>
        <w:tc>
          <w:tcPr>
            <w:tcW w:w="3501" w:type="dxa"/>
            <w:tcBorders>
              <w:top w:val="single" w:sz="5" w:space="0" w:color="000000"/>
              <w:left w:val="single" w:sz="5" w:space="0" w:color="000000"/>
              <w:bottom w:val="single" w:sz="5" w:space="0" w:color="000000"/>
              <w:right w:val="single" w:sz="5" w:space="0" w:color="000000"/>
            </w:tcBorders>
            <w:vAlign w:val="center"/>
          </w:tcPr>
          <w:p w14:paraId="08CE91AE" w14:textId="45CE10B3" w:rsidR="00AB18A6" w:rsidRPr="008C436F" w:rsidRDefault="00AB18A6" w:rsidP="008C436F">
            <w:pPr>
              <w:spacing w:after="0" w:line="240" w:lineRule="auto"/>
              <w:ind w:left="110"/>
              <w:textAlignment w:val="baseline"/>
              <w:rPr>
                <w:rFonts w:ascii="Verdana" w:eastAsia="Verdana" w:hAnsi="Verdana"/>
                <w:color w:val="000000"/>
                <w:sz w:val="18"/>
                <w:szCs w:val="18"/>
                <w:lang w:val="fr-BE"/>
              </w:rPr>
            </w:pPr>
            <w:r w:rsidRPr="008C436F">
              <w:rPr>
                <w:rFonts w:ascii="Verdana" w:eastAsia="Verdana" w:hAnsi="Verdana"/>
                <w:color w:val="000000"/>
                <w:sz w:val="18"/>
                <w:szCs w:val="18"/>
                <w:lang w:val="fr-BE"/>
              </w:rPr>
              <w:t>Sections 6 et 7.3</w:t>
            </w:r>
          </w:p>
        </w:tc>
      </w:tr>
    </w:tbl>
    <w:p w14:paraId="7317CF03" w14:textId="07831A92" w:rsidR="004B12FB" w:rsidRDefault="004B12FB" w:rsidP="008C436F">
      <w:pPr>
        <w:tabs>
          <w:tab w:val="left" w:pos="3493"/>
        </w:tabs>
        <w:spacing w:after="0" w:line="240" w:lineRule="auto"/>
        <w:jc w:val="center"/>
        <w:rPr>
          <w:rFonts w:ascii="Verdana" w:hAnsi="Verdana"/>
          <w:bCs/>
          <w:sz w:val="18"/>
          <w:szCs w:val="18"/>
          <w:lang w:val="fr-BE"/>
        </w:rPr>
      </w:pPr>
    </w:p>
    <w:p w14:paraId="4B9EFEB9" w14:textId="2D9ED514" w:rsidR="006C7775" w:rsidRDefault="006C7775" w:rsidP="008C436F">
      <w:pPr>
        <w:tabs>
          <w:tab w:val="left" w:pos="3493"/>
        </w:tabs>
        <w:spacing w:after="0" w:line="240" w:lineRule="auto"/>
        <w:jc w:val="center"/>
        <w:rPr>
          <w:rFonts w:ascii="Verdana" w:hAnsi="Verdana"/>
          <w:bCs/>
          <w:sz w:val="18"/>
          <w:szCs w:val="18"/>
          <w:lang w:val="fr-BE"/>
        </w:rPr>
      </w:pPr>
    </w:p>
    <w:p w14:paraId="416119E3" w14:textId="452AE717" w:rsidR="006C7775" w:rsidRDefault="006C7775" w:rsidP="008C436F">
      <w:pPr>
        <w:tabs>
          <w:tab w:val="left" w:pos="3493"/>
        </w:tabs>
        <w:spacing w:after="0" w:line="240" w:lineRule="auto"/>
        <w:jc w:val="center"/>
        <w:rPr>
          <w:rFonts w:ascii="Verdana" w:hAnsi="Verdana"/>
          <w:bCs/>
          <w:sz w:val="18"/>
          <w:szCs w:val="18"/>
          <w:lang w:val="fr-BE"/>
        </w:rPr>
      </w:pPr>
    </w:p>
    <w:p w14:paraId="19F03E17" w14:textId="77777777" w:rsidR="006C7775" w:rsidRPr="008C436F" w:rsidRDefault="006C7775" w:rsidP="008C436F">
      <w:pPr>
        <w:tabs>
          <w:tab w:val="left" w:pos="3493"/>
        </w:tabs>
        <w:spacing w:after="0" w:line="240" w:lineRule="auto"/>
        <w:jc w:val="center"/>
        <w:rPr>
          <w:rFonts w:ascii="Verdana" w:hAnsi="Verdana"/>
          <w:bCs/>
          <w:sz w:val="18"/>
          <w:szCs w:val="18"/>
          <w:lang w:val="fr-BE"/>
        </w:rPr>
      </w:pPr>
    </w:p>
    <w:p w14:paraId="18A7F34E" w14:textId="0343B179" w:rsidR="004B12FB" w:rsidRPr="008C436F" w:rsidRDefault="004B12FB" w:rsidP="008C436F">
      <w:pPr>
        <w:tabs>
          <w:tab w:val="left" w:pos="3493"/>
        </w:tabs>
        <w:spacing w:after="0" w:line="240" w:lineRule="auto"/>
        <w:jc w:val="center"/>
        <w:rPr>
          <w:rFonts w:ascii="Verdana" w:hAnsi="Verdana"/>
          <w:bCs/>
          <w:sz w:val="18"/>
          <w:szCs w:val="18"/>
          <w:lang w:val="fr-BE"/>
        </w:rPr>
      </w:pPr>
    </w:p>
    <w:p w14:paraId="394F3B9D" w14:textId="56023123" w:rsidR="004B12FB" w:rsidRPr="008C436F" w:rsidRDefault="004B12FB" w:rsidP="008C436F">
      <w:pPr>
        <w:tabs>
          <w:tab w:val="left" w:pos="3493"/>
        </w:tabs>
        <w:spacing w:after="0" w:line="240" w:lineRule="auto"/>
        <w:jc w:val="center"/>
        <w:rPr>
          <w:rFonts w:ascii="Verdana" w:hAnsi="Verdana"/>
          <w:bCs/>
          <w:sz w:val="18"/>
          <w:szCs w:val="18"/>
          <w:lang w:val="fr-BE"/>
        </w:rPr>
      </w:pPr>
    </w:p>
    <w:p w14:paraId="31D6F1DC" w14:textId="366CDD15" w:rsidR="00512014" w:rsidRPr="008C436F" w:rsidRDefault="00512014" w:rsidP="008C436F">
      <w:pPr>
        <w:tabs>
          <w:tab w:val="left" w:pos="3493"/>
        </w:tabs>
        <w:spacing w:after="0" w:line="240" w:lineRule="auto"/>
        <w:rPr>
          <w:rFonts w:ascii="Verdana" w:hAnsi="Verdana"/>
          <w:bCs/>
          <w:sz w:val="18"/>
          <w:szCs w:val="18"/>
          <w:lang w:val="fr-BE"/>
        </w:rPr>
      </w:pPr>
    </w:p>
    <w:p w14:paraId="6976A5A5" w14:textId="47B16765" w:rsidR="00512014" w:rsidRPr="008C436F" w:rsidRDefault="00512014" w:rsidP="008C436F">
      <w:pPr>
        <w:tabs>
          <w:tab w:val="left" w:pos="3493"/>
        </w:tabs>
        <w:spacing w:after="0" w:line="240" w:lineRule="auto"/>
        <w:rPr>
          <w:rFonts w:ascii="Verdana" w:hAnsi="Verdana"/>
          <w:bCs/>
          <w:sz w:val="18"/>
          <w:szCs w:val="18"/>
          <w:lang w:val="fr-BE"/>
        </w:rPr>
      </w:pPr>
    </w:p>
    <w:p w14:paraId="6694C9B1" w14:textId="77777777" w:rsidR="00AB18A6" w:rsidRPr="00AA4ADF" w:rsidRDefault="00AB18A6" w:rsidP="008C436F">
      <w:pPr>
        <w:pStyle w:val="Default"/>
        <w:rPr>
          <w:b/>
          <w:bCs/>
          <w:sz w:val="18"/>
          <w:szCs w:val="18"/>
          <w:lang w:val="fr-BE"/>
        </w:rPr>
      </w:pPr>
      <w:r w:rsidRPr="00AA4ADF">
        <w:rPr>
          <w:b/>
          <w:bCs/>
          <w:sz w:val="18"/>
          <w:szCs w:val="18"/>
          <w:lang w:val="fr-BE"/>
        </w:rPr>
        <w:lastRenderedPageBreak/>
        <w:t xml:space="preserve">Avant-propos </w:t>
      </w:r>
    </w:p>
    <w:p w14:paraId="2F8591D3" w14:textId="580237BB" w:rsidR="00AB18A6" w:rsidRPr="00AA4ADF" w:rsidRDefault="00AB18A6" w:rsidP="00884120">
      <w:pPr>
        <w:spacing w:after="0" w:line="240" w:lineRule="auto"/>
        <w:ind w:right="142"/>
        <w:rPr>
          <w:rFonts w:ascii="Verdana" w:hAnsi="Verdana"/>
          <w:sz w:val="18"/>
          <w:szCs w:val="18"/>
          <w:lang w:val="fr-BE"/>
        </w:rPr>
      </w:pPr>
      <w:r w:rsidRPr="00AA4ADF">
        <w:rPr>
          <w:rFonts w:ascii="Verdana" w:hAnsi="Verdana"/>
          <w:sz w:val="18"/>
          <w:szCs w:val="18"/>
          <w:lang w:val="fr-BE"/>
        </w:rPr>
        <w:t>Cette note s’adresse aux professionnels de la santé et en particulier aux prescripteurs pour lesquels la législation prévoit la possibilité de prescrire en DCI</w:t>
      </w:r>
      <w:r w:rsidR="00AA4ADF" w:rsidRPr="00AA4ADF">
        <w:rPr>
          <w:rFonts w:ascii="Verdana" w:hAnsi="Verdana"/>
          <w:sz w:val="18"/>
          <w:szCs w:val="18"/>
          <w:lang w:val="fr-BE"/>
        </w:rPr>
        <w:t>,</w:t>
      </w:r>
      <w:r w:rsidRPr="00AA4ADF">
        <w:rPr>
          <w:rFonts w:ascii="Verdana" w:hAnsi="Verdana"/>
          <w:sz w:val="18"/>
          <w:szCs w:val="18"/>
          <w:lang w:val="fr-BE"/>
        </w:rPr>
        <w:t xml:space="preserve"> ainsi qu’aux pharmaciens qui jouent un rôle important comme conseillers en termes d’usage rationnel des médicaments. Elle a pour but d’aider le professionnel de santé dans sa pratique de tous les jours et dans l’usage des groupes DCI.</w:t>
      </w:r>
    </w:p>
    <w:p w14:paraId="6820E8DB" w14:textId="77777777" w:rsidR="00AA4ADF" w:rsidRPr="00AA4ADF" w:rsidRDefault="00AA4ADF" w:rsidP="00884120">
      <w:pPr>
        <w:spacing w:after="0" w:line="240" w:lineRule="auto"/>
        <w:ind w:right="142"/>
        <w:rPr>
          <w:rFonts w:ascii="Verdana" w:hAnsi="Verdana"/>
          <w:sz w:val="18"/>
          <w:szCs w:val="18"/>
          <w:lang w:val="fr-BE"/>
        </w:rPr>
      </w:pPr>
    </w:p>
    <w:p w14:paraId="3238069F" w14:textId="3769BE75" w:rsidR="00AB18A6" w:rsidRPr="00AA4ADF" w:rsidRDefault="00AB18A6" w:rsidP="00884120">
      <w:pPr>
        <w:spacing w:after="0" w:line="240" w:lineRule="auto"/>
        <w:ind w:right="142"/>
        <w:rPr>
          <w:rFonts w:ascii="Verdana" w:hAnsi="Verdana"/>
          <w:sz w:val="18"/>
          <w:szCs w:val="18"/>
          <w:lang w:val="fr-BE"/>
        </w:rPr>
      </w:pPr>
      <w:r w:rsidRPr="00AA4ADF">
        <w:rPr>
          <w:rFonts w:ascii="Verdana" w:hAnsi="Verdana"/>
          <w:sz w:val="18"/>
          <w:szCs w:val="18"/>
          <w:lang w:val="fr-BE"/>
        </w:rPr>
        <w:t>Cette note doit être interprétée comme un ensemble de recommandations énoncées par l’</w:t>
      </w:r>
      <w:r w:rsidR="00AA4ADF" w:rsidRPr="00AA4ADF">
        <w:rPr>
          <w:rFonts w:ascii="Verdana" w:hAnsi="Verdana"/>
          <w:sz w:val="18"/>
          <w:szCs w:val="18"/>
          <w:lang w:val="fr-BE"/>
        </w:rPr>
        <w:t>Agence fédérale des médicaments et des produits de santé (</w:t>
      </w:r>
      <w:r w:rsidRPr="00AA4ADF">
        <w:rPr>
          <w:rFonts w:ascii="Verdana" w:hAnsi="Verdana"/>
          <w:sz w:val="18"/>
          <w:szCs w:val="18"/>
          <w:lang w:val="fr-BE"/>
        </w:rPr>
        <w:t>AFMPS</w:t>
      </w:r>
      <w:r w:rsidR="00AA4ADF" w:rsidRPr="00AA4ADF">
        <w:rPr>
          <w:rFonts w:ascii="Verdana" w:hAnsi="Verdana"/>
          <w:sz w:val="18"/>
          <w:szCs w:val="18"/>
          <w:lang w:val="fr-BE"/>
        </w:rPr>
        <w:t>)</w:t>
      </w:r>
      <w:r w:rsidRPr="00AA4ADF">
        <w:rPr>
          <w:rFonts w:ascii="Verdana" w:hAnsi="Verdana"/>
          <w:sz w:val="18"/>
          <w:szCs w:val="18"/>
          <w:lang w:val="fr-BE"/>
        </w:rPr>
        <w:t xml:space="preserve"> sur plusieurs aspects de la prescription en DCI afin d’avoir une approche harmonisée dans la mise en application de la prescription en DCI au sein du monde professionnel. Ces règles opérationnelles n’ont pas de valeur juridique particulière. Les exigences légales applicables sont celles édictées dans le cadre législatif applicable en matière de prescription en DCI.</w:t>
      </w:r>
    </w:p>
    <w:p w14:paraId="6EBC615F" w14:textId="77777777" w:rsidR="00AA4ADF" w:rsidRPr="00AA4ADF" w:rsidRDefault="00AA4ADF" w:rsidP="00884120">
      <w:pPr>
        <w:spacing w:after="0" w:line="240" w:lineRule="auto"/>
        <w:ind w:right="142"/>
        <w:rPr>
          <w:rFonts w:ascii="Verdana" w:hAnsi="Verdana"/>
          <w:sz w:val="18"/>
          <w:szCs w:val="18"/>
          <w:lang w:val="fr-BE"/>
        </w:rPr>
      </w:pPr>
    </w:p>
    <w:p w14:paraId="2A62D9BB" w14:textId="77777777" w:rsidR="00AB18A6" w:rsidRPr="00AA4ADF" w:rsidRDefault="00AB18A6" w:rsidP="00884120">
      <w:pPr>
        <w:spacing w:after="0" w:line="240" w:lineRule="auto"/>
        <w:ind w:right="142"/>
        <w:rPr>
          <w:rFonts w:ascii="Verdana" w:hAnsi="Verdana"/>
          <w:sz w:val="18"/>
          <w:szCs w:val="18"/>
          <w:lang w:val="fr-BE"/>
        </w:rPr>
      </w:pPr>
      <w:r w:rsidRPr="00AA4ADF">
        <w:rPr>
          <w:rFonts w:ascii="Verdana" w:hAnsi="Verdana"/>
          <w:sz w:val="18"/>
          <w:szCs w:val="18"/>
          <w:lang w:val="fr-BE"/>
        </w:rPr>
        <w:t xml:space="preserve">Il est à noter que les principes énoncés dans la note s’appliquent de la même manière à tous les médicaments, quels qu’ils soient. </w:t>
      </w:r>
    </w:p>
    <w:p w14:paraId="2D4797DA" w14:textId="77777777" w:rsidR="00AB18A6" w:rsidRPr="00AA4ADF" w:rsidRDefault="00AB18A6" w:rsidP="008C436F">
      <w:pPr>
        <w:spacing w:after="0" w:line="240" w:lineRule="auto"/>
        <w:rPr>
          <w:rFonts w:ascii="Verdana" w:hAnsi="Verdana"/>
          <w:sz w:val="18"/>
          <w:szCs w:val="18"/>
          <w:lang w:val="fr-BE"/>
        </w:rPr>
      </w:pPr>
    </w:p>
    <w:p w14:paraId="2E995386" w14:textId="77777777" w:rsidR="00AB18A6" w:rsidRPr="00AA4ADF" w:rsidRDefault="00AB18A6" w:rsidP="008C436F">
      <w:pPr>
        <w:spacing w:after="0" w:line="240" w:lineRule="auto"/>
        <w:rPr>
          <w:rFonts w:ascii="Verdana" w:hAnsi="Verdana"/>
          <w:sz w:val="18"/>
          <w:szCs w:val="18"/>
          <w:lang w:val="fr-BE"/>
        </w:rPr>
      </w:pPr>
    </w:p>
    <w:p w14:paraId="4B26008A" w14:textId="77777777" w:rsidR="00AB18A6" w:rsidRPr="00AA4ADF" w:rsidRDefault="00AB18A6" w:rsidP="008C436F">
      <w:pPr>
        <w:spacing w:after="0" w:line="240" w:lineRule="auto"/>
        <w:rPr>
          <w:rFonts w:ascii="Verdana" w:hAnsi="Verdana"/>
          <w:iCs/>
          <w:sz w:val="18"/>
          <w:szCs w:val="18"/>
          <w:lang w:val="fr-BE"/>
        </w:rPr>
      </w:pPr>
    </w:p>
    <w:p w14:paraId="0BEF8534" w14:textId="77777777" w:rsidR="00AB18A6" w:rsidRPr="00AA4ADF" w:rsidRDefault="00AB18A6" w:rsidP="008C436F">
      <w:pPr>
        <w:spacing w:after="0" w:line="240" w:lineRule="auto"/>
        <w:rPr>
          <w:rFonts w:ascii="Verdana" w:hAnsi="Verdana"/>
          <w:sz w:val="18"/>
          <w:szCs w:val="18"/>
          <w:lang w:val="fr-BE"/>
        </w:rPr>
      </w:pPr>
    </w:p>
    <w:p w14:paraId="7ED5D1E9" w14:textId="77777777" w:rsidR="00AB18A6" w:rsidRPr="00AA4ADF" w:rsidRDefault="00AB18A6" w:rsidP="008C436F">
      <w:pPr>
        <w:spacing w:after="0" w:line="240" w:lineRule="auto"/>
        <w:rPr>
          <w:rFonts w:ascii="Verdana" w:hAnsi="Verdana"/>
          <w:sz w:val="18"/>
          <w:szCs w:val="18"/>
          <w:lang w:val="fr-BE"/>
        </w:rPr>
      </w:pPr>
    </w:p>
    <w:p w14:paraId="6BE2D66C" w14:textId="77777777" w:rsidR="00AB18A6" w:rsidRPr="00AA4ADF" w:rsidRDefault="00AB18A6" w:rsidP="008C436F">
      <w:pPr>
        <w:spacing w:after="0" w:line="240" w:lineRule="auto"/>
        <w:rPr>
          <w:rFonts w:ascii="Verdana" w:hAnsi="Verdana"/>
          <w:sz w:val="18"/>
          <w:szCs w:val="18"/>
          <w:lang w:val="fr-BE"/>
        </w:rPr>
      </w:pPr>
    </w:p>
    <w:p w14:paraId="7848D3F5" w14:textId="77777777" w:rsidR="00AB18A6" w:rsidRPr="00AA4ADF" w:rsidRDefault="00AB18A6" w:rsidP="008C436F">
      <w:pPr>
        <w:spacing w:after="0" w:line="240" w:lineRule="auto"/>
        <w:rPr>
          <w:rFonts w:ascii="Verdana" w:hAnsi="Verdana"/>
          <w:sz w:val="18"/>
          <w:szCs w:val="18"/>
          <w:lang w:val="fr-BE"/>
        </w:rPr>
      </w:pPr>
    </w:p>
    <w:p w14:paraId="1CF85F68" w14:textId="77777777" w:rsidR="00AB18A6" w:rsidRPr="00AA4ADF" w:rsidRDefault="00AB18A6" w:rsidP="008C436F">
      <w:pPr>
        <w:spacing w:after="0" w:line="240" w:lineRule="auto"/>
        <w:rPr>
          <w:rFonts w:ascii="Verdana" w:hAnsi="Verdana"/>
          <w:sz w:val="18"/>
          <w:szCs w:val="18"/>
          <w:lang w:val="fr-BE"/>
        </w:rPr>
      </w:pPr>
    </w:p>
    <w:p w14:paraId="7F70E6EE" w14:textId="77777777" w:rsidR="00AB18A6" w:rsidRPr="00AA4ADF" w:rsidRDefault="00AB18A6" w:rsidP="008C436F">
      <w:pPr>
        <w:spacing w:after="0" w:line="240" w:lineRule="auto"/>
        <w:rPr>
          <w:rFonts w:ascii="Verdana" w:hAnsi="Verdana"/>
          <w:sz w:val="18"/>
          <w:szCs w:val="18"/>
          <w:lang w:val="fr-BE"/>
        </w:rPr>
      </w:pPr>
    </w:p>
    <w:p w14:paraId="2958239C" w14:textId="77777777" w:rsidR="00AB18A6" w:rsidRPr="00AA4ADF" w:rsidRDefault="00AB18A6" w:rsidP="008C436F">
      <w:pPr>
        <w:spacing w:after="0" w:line="240" w:lineRule="auto"/>
        <w:rPr>
          <w:rFonts w:ascii="Verdana" w:hAnsi="Verdana"/>
          <w:sz w:val="18"/>
          <w:szCs w:val="18"/>
          <w:lang w:val="fr-BE"/>
        </w:rPr>
      </w:pPr>
    </w:p>
    <w:p w14:paraId="355AE7EC" w14:textId="77777777" w:rsidR="00AB18A6" w:rsidRPr="00AA4ADF" w:rsidRDefault="00AB18A6" w:rsidP="008C436F">
      <w:pPr>
        <w:spacing w:after="0" w:line="240" w:lineRule="auto"/>
        <w:rPr>
          <w:rFonts w:ascii="Verdana" w:hAnsi="Verdana"/>
          <w:sz w:val="18"/>
          <w:szCs w:val="18"/>
          <w:lang w:val="fr-BE"/>
        </w:rPr>
      </w:pPr>
    </w:p>
    <w:p w14:paraId="7B8010D0" w14:textId="77777777" w:rsidR="00AB18A6" w:rsidRPr="00AA4ADF" w:rsidRDefault="00AB18A6" w:rsidP="008C436F">
      <w:pPr>
        <w:spacing w:after="0" w:line="240" w:lineRule="auto"/>
        <w:rPr>
          <w:rFonts w:ascii="Verdana" w:hAnsi="Verdana"/>
          <w:sz w:val="18"/>
          <w:szCs w:val="18"/>
          <w:lang w:val="fr-BE"/>
        </w:rPr>
      </w:pPr>
    </w:p>
    <w:p w14:paraId="7B11F1B9" w14:textId="77777777" w:rsidR="00AB18A6" w:rsidRPr="00AA4ADF" w:rsidRDefault="00AB18A6" w:rsidP="008C436F">
      <w:pPr>
        <w:spacing w:after="0" w:line="240" w:lineRule="auto"/>
        <w:rPr>
          <w:rFonts w:ascii="Verdana" w:hAnsi="Verdana"/>
          <w:sz w:val="18"/>
          <w:szCs w:val="18"/>
          <w:lang w:val="fr-BE"/>
        </w:rPr>
      </w:pPr>
    </w:p>
    <w:p w14:paraId="7A733147" w14:textId="77777777" w:rsidR="00AB18A6" w:rsidRPr="00AA4ADF" w:rsidRDefault="00AB18A6" w:rsidP="008C436F">
      <w:pPr>
        <w:spacing w:after="0" w:line="240" w:lineRule="auto"/>
        <w:rPr>
          <w:rFonts w:ascii="Verdana" w:hAnsi="Verdana"/>
          <w:sz w:val="18"/>
          <w:szCs w:val="18"/>
          <w:lang w:val="fr-BE"/>
        </w:rPr>
      </w:pPr>
    </w:p>
    <w:p w14:paraId="3036605D" w14:textId="77777777" w:rsidR="00AB18A6" w:rsidRPr="00AA4ADF" w:rsidRDefault="00AB18A6" w:rsidP="008C436F">
      <w:pPr>
        <w:spacing w:after="0" w:line="240" w:lineRule="auto"/>
        <w:rPr>
          <w:rFonts w:ascii="Verdana" w:hAnsi="Verdana"/>
          <w:sz w:val="18"/>
          <w:szCs w:val="18"/>
          <w:lang w:val="fr-BE"/>
        </w:rPr>
      </w:pPr>
    </w:p>
    <w:p w14:paraId="311B9518" w14:textId="77777777" w:rsidR="00AB18A6" w:rsidRPr="00AA4ADF" w:rsidRDefault="00AB18A6" w:rsidP="008C436F">
      <w:pPr>
        <w:spacing w:after="0" w:line="240" w:lineRule="auto"/>
        <w:rPr>
          <w:rFonts w:ascii="Verdana" w:hAnsi="Verdana"/>
          <w:sz w:val="18"/>
          <w:szCs w:val="18"/>
          <w:lang w:val="fr-BE"/>
        </w:rPr>
      </w:pPr>
    </w:p>
    <w:p w14:paraId="0A33943C" w14:textId="77777777" w:rsidR="00AB18A6" w:rsidRPr="00AA4ADF" w:rsidRDefault="00AB18A6" w:rsidP="008C436F">
      <w:pPr>
        <w:spacing w:after="0" w:line="240" w:lineRule="auto"/>
        <w:rPr>
          <w:rFonts w:ascii="Verdana" w:hAnsi="Verdana"/>
          <w:sz w:val="18"/>
          <w:szCs w:val="18"/>
          <w:lang w:val="fr-BE"/>
        </w:rPr>
      </w:pPr>
    </w:p>
    <w:p w14:paraId="77CA8574" w14:textId="77777777" w:rsidR="00AB18A6" w:rsidRPr="00AA4ADF" w:rsidRDefault="00AB18A6" w:rsidP="008C436F">
      <w:pPr>
        <w:spacing w:after="0" w:line="240" w:lineRule="auto"/>
        <w:rPr>
          <w:rFonts w:ascii="Verdana" w:hAnsi="Verdana"/>
          <w:sz w:val="18"/>
          <w:szCs w:val="18"/>
          <w:lang w:val="fr-BE"/>
        </w:rPr>
      </w:pPr>
    </w:p>
    <w:p w14:paraId="2F6EB42B" w14:textId="77777777" w:rsidR="00AB18A6" w:rsidRPr="00AA4ADF" w:rsidRDefault="00AB18A6" w:rsidP="008C436F">
      <w:pPr>
        <w:spacing w:after="0" w:line="240" w:lineRule="auto"/>
        <w:rPr>
          <w:rFonts w:ascii="Verdana" w:hAnsi="Verdana"/>
          <w:sz w:val="18"/>
          <w:szCs w:val="18"/>
          <w:lang w:val="fr-BE"/>
        </w:rPr>
      </w:pPr>
    </w:p>
    <w:p w14:paraId="4502A75E" w14:textId="77777777" w:rsidR="00AB18A6" w:rsidRPr="00AA4ADF" w:rsidRDefault="00AB18A6" w:rsidP="008C436F">
      <w:pPr>
        <w:spacing w:after="0" w:line="240" w:lineRule="auto"/>
        <w:rPr>
          <w:rFonts w:ascii="Verdana" w:hAnsi="Verdana"/>
          <w:sz w:val="18"/>
          <w:szCs w:val="18"/>
          <w:lang w:val="fr-BE"/>
        </w:rPr>
      </w:pPr>
    </w:p>
    <w:p w14:paraId="11DBA182" w14:textId="77777777" w:rsidR="00AB18A6" w:rsidRPr="00AA4ADF" w:rsidRDefault="00AB18A6" w:rsidP="008C436F">
      <w:pPr>
        <w:spacing w:after="0" w:line="240" w:lineRule="auto"/>
        <w:rPr>
          <w:rFonts w:ascii="Verdana" w:hAnsi="Verdana"/>
          <w:sz w:val="18"/>
          <w:szCs w:val="18"/>
          <w:lang w:val="fr-BE"/>
        </w:rPr>
      </w:pPr>
    </w:p>
    <w:p w14:paraId="31CFC255" w14:textId="77777777" w:rsidR="00AB18A6" w:rsidRPr="00AA4ADF" w:rsidRDefault="00AB18A6" w:rsidP="008C436F">
      <w:pPr>
        <w:spacing w:after="0" w:line="240" w:lineRule="auto"/>
        <w:rPr>
          <w:rFonts w:ascii="Verdana" w:hAnsi="Verdana"/>
          <w:sz w:val="18"/>
          <w:szCs w:val="18"/>
          <w:lang w:val="fr-BE"/>
        </w:rPr>
      </w:pPr>
    </w:p>
    <w:p w14:paraId="0A5F0302" w14:textId="77777777" w:rsidR="00AB18A6" w:rsidRPr="00AA4ADF" w:rsidRDefault="00AB18A6" w:rsidP="008C436F">
      <w:pPr>
        <w:spacing w:after="0" w:line="240" w:lineRule="auto"/>
        <w:rPr>
          <w:rFonts w:ascii="Verdana" w:hAnsi="Verdana"/>
          <w:sz w:val="18"/>
          <w:szCs w:val="18"/>
          <w:lang w:val="fr-BE"/>
        </w:rPr>
      </w:pPr>
    </w:p>
    <w:p w14:paraId="7A032C2E" w14:textId="05A6CD00" w:rsidR="00AB18A6" w:rsidRPr="00AA4ADF" w:rsidRDefault="00AB18A6" w:rsidP="008C436F">
      <w:pPr>
        <w:spacing w:after="0" w:line="240" w:lineRule="auto"/>
        <w:rPr>
          <w:rFonts w:ascii="Verdana" w:hAnsi="Verdana"/>
          <w:sz w:val="18"/>
          <w:szCs w:val="18"/>
          <w:lang w:val="fr-BE"/>
        </w:rPr>
      </w:pPr>
    </w:p>
    <w:p w14:paraId="6B1324AE" w14:textId="77777777" w:rsidR="00AB18A6" w:rsidRPr="00AA4ADF" w:rsidRDefault="00AB18A6" w:rsidP="008C436F">
      <w:pPr>
        <w:spacing w:after="0" w:line="240" w:lineRule="auto"/>
        <w:rPr>
          <w:rFonts w:ascii="Verdana" w:hAnsi="Verdana"/>
          <w:sz w:val="18"/>
          <w:szCs w:val="18"/>
          <w:lang w:val="fr-BE"/>
        </w:rPr>
      </w:pPr>
    </w:p>
    <w:p w14:paraId="66C2D359" w14:textId="77777777" w:rsidR="00AB18A6" w:rsidRPr="00AA4ADF" w:rsidRDefault="00AB18A6" w:rsidP="008C436F">
      <w:pPr>
        <w:spacing w:after="0" w:line="240" w:lineRule="auto"/>
        <w:rPr>
          <w:rFonts w:ascii="Verdana" w:hAnsi="Verdana"/>
          <w:sz w:val="18"/>
          <w:szCs w:val="18"/>
          <w:lang w:val="fr-BE"/>
        </w:rPr>
      </w:pPr>
    </w:p>
    <w:p w14:paraId="5B32FA3C" w14:textId="77777777" w:rsidR="00AB18A6" w:rsidRPr="00AA4ADF" w:rsidRDefault="00AB18A6" w:rsidP="008C436F">
      <w:pPr>
        <w:spacing w:after="0" w:line="240" w:lineRule="auto"/>
        <w:rPr>
          <w:rFonts w:ascii="Verdana" w:hAnsi="Verdana"/>
          <w:sz w:val="18"/>
          <w:szCs w:val="18"/>
          <w:lang w:val="fr-BE"/>
        </w:rPr>
      </w:pPr>
    </w:p>
    <w:p w14:paraId="4DB6C822" w14:textId="3E2DCAB8" w:rsidR="00AA4ADF" w:rsidRDefault="00AA4ADF">
      <w:pPr>
        <w:rPr>
          <w:rFonts w:ascii="Verdana" w:hAnsi="Verdana" w:cs="Verdana"/>
          <w:b/>
          <w:bCs/>
          <w:color w:val="000000"/>
          <w:szCs w:val="18"/>
          <w:lang w:val="fr-BE"/>
        </w:rPr>
      </w:pPr>
      <w:r>
        <w:rPr>
          <w:b/>
          <w:bCs/>
          <w:szCs w:val="18"/>
          <w:lang w:val="fr-BE"/>
        </w:rPr>
        <w:br w:type="page"/>
      </w:r>
    </w:p>
    <w:p w14:paraId="78288F3F" w14:textId="77777777" w:rsidR="00AB18A6" w:rsidRPr="00F1077F" w:rsidRDefault="00AB18A6" w:rsidP="00E50D18">
      <w:pPr>
        <w:spacing w:after="0" w:line="240" w:lineRule="auto"/>
        <w:textAlignment w:val="baseline"/>
        <w:rPr>
          <w:rFonts w:ascii="Verdana" w:hAnsi="Verdana" w:cs="Verdana"/>
          <w:b/>
          <w:bCs/>
          <w:color w:val="5B9BD3"/>
          <w:szCs w:val="18"/>
          <w:lang w:val="fr-BE"/>
        </w:rPr>
      </w:pPr>
      <w:r w:rsidRPr="00F1077F">
        <w:rPr>
          <w:rFonts w:ascii="Verdana" w:hAnsi="Verdana" w:cs="Verdana"/>
          <w:b/>
          <w:bCs/>
          <w:color w:val="5B9BD3"/>
          <w:szCs w:val="18"/>
          <w:lang w:val="fr-BE"/>
        </w:rPr>
        <w:lastRenderedPageBreak/>
        <w:t xml:space="preserve">Table des matières </w:t>
      </w:r>
    </w:p>
    <w:tbl>
      <w:tblPr>
        <w:tblW w:w="9394" w:type="dxa"/>
        <w:tblLook w:val="04A0" w:firstRow="1" w:lastRow="0" w:firstColumn="1" w:lastColumn="0" w:noHBand="0" w:noVBand="1"/>
      </w:tblPr>
      <w:tblGrid>
        <w:gridCol w:w="8280"/>
        <w:gridCol w:w="1114"/>
      </w:tblGrid>
      <w:tr w:rsidR="00AB18A6" w:rsidRPr="00220722" w14:paraId="5F6953A7" w14:textId="77777777" w:rsidTr="00671F68">
        <w:trPr>
          <w:trHeight w:val="440"/>
        </w:trPr>
        <w:tc>
          <w:tcPr>
            <w:tcW w:w="8280" w:type="dxa"/>
            <w:tcBorders>
              <w:top w:val="nil"/>
              <w:left w:val="nil"/>
              <w:bottom w:val="nil"/>
              <w:right w:val="nil"/>
            </w:tcBorders>
            <w:shd w:val="clear" w:color="auto" w:fill="auto"/>
            <w:noWrap/>
            <w:vAlign w:val="center"/>
            <w:hideMark/>
          </w:tcPr>
          <w:p w14:paraId="602A8807" w14:textId="52043C06" w:rsidR="00AB18A6" w:rsidRPr="00220722" w:rsidRDefault="00AB18A6" w:rsidP="00E50D18">
            <w:pPr>
              <w:pStyle w:val="ListParagraph"/>
              <w:numPr>
                <w:ilvl w:val="0"/>
                <w:numId w:val="5"/>
              </w:numPr>
              <w:spacing w:after="0" w:line="240" w:lineRule="auto"/>
              <w:ind w:left="311" w:hanging="426"/>
              <w:contextualSpacing w:val="0"/>
              <w:rPr>
                <w:rFonts w:ascii="Verdana" w:eastAsia="Times New Roman" w:hAnsi="Verdana" w:cs="Calibri"/>
                <w:color w:val="000000"/>
                <w:sz w:val="18"/>
                <w:szCs w:val="18"/>
                <w:lang w:val="fr-BE" w:eastAsia="en-GB"/>
              </w:rPr>
            </w:pPr>
            <w:r w:rsidRPr="00220722">
              <w:rPr>
                <w:rFonts w:ascii="Verdana" w:eastAsia="Times New Roman" w:hAnsi="Verdana" w:cs="Calibri"/>
                <w:color w:val="000000"/>
                <w:sz w:val="18"/>
                <w:szCs w:val="18"/>
                <w:lang w:val="fr-BE" w:eastAsia="en-GB"/>
              </w:rPr>
              <w:t xml:space="preserve">Introduction </w:t>
            </w:r>
          </w:p>
        </w:tc>
        <w:tc>
          <w:tcPr>
            <w:tcW w:w="1114" w:type="dxa"/>
            <w:tcBorders>
              <w:top w:val="nil"/>
              <w:left w:val="nil"/>
              <w:bottom w:val="nil"/>
              <w:right w:val="nil"/>
            </w:tcBorders>
            <w:shd w:val="clear" w:color="auto" w:fill="auto"/>
            <w:noWrap/>
            <w:vAlign w:val="center"/>
            <w:hideMark/>
          </w:tcPr>
          <w:p w14:paraId="5AB1507B" w14:textId="77777777" w:rsidR="00AB18A6" w:rsidRPr="00220722" w:rsidRDefault="00AB18A6" w:rsidP="00E50D18">
            <w:pPr>
              <w:pStyle w:val="ListParagraph"/>
              <w:spacing w:after="0" w:line="240" w:lineRule="auto"/>
              <w:ind w:left="319" w:hanging="319"/>
              <w:contextualSpacing w:val="0"/>
              <w:jc w:val="right"/>
              <w:rPr>
                <w:rFonts w:ascii="Verdana" w:eastAsia="Times New Roman" w:hAnsi="Verdana" w:cs="Calibri"/>
                <w:color w:val="000000"/>
                <w:sz w:val="18"/>
                <w:szCs w:val="18"/>
                <w:lang w:val="fr-BE" w:eastAsia="en-GB"/>
              </w:rPr>
            </w:pPr>
            <w:r w:rsidRPr="00220722">
              <w:rPr>
                <w:rFonts w:ascii="Verdana" w:eastAsia="Times New Roman" w:hAnsi="Verdana" w:cs="Calibri"/>
                <w:color w:val="000000"/>
                <w:sz w:val="18"/>
                <w:szCs w:val="18"/>
                <w:lang w:val="fr-BE" w:eastAsia="en-GB"/>
              </w:rPr>
              <w:t>4</w:t>
            </w:r>
          </w:p>
        </w:tc>
      </w:tr>
      <w:tr w:rsidR="00E50D18" w:rsidRPr="00E50D18" w14:paraId="68764909" w14:textId="77777777" w:rsidTr="00671F68">
        <w:trPr>
          <w:trHeight w:val="440"/>
        </w:trPr>
        <w:tc>
          <w:tcPr>
            <w:tcW w:w="8280" w:type="dxa"/>
            <w:tcBorders>
              <w:top w:val="nil"/>
              <w:left w:val="nil"/>
              <w:bottom w:val="nil"/>
              <w:right w:val="nil"/>
            </w:tcBorders>
            <w:shd w:val="clear" w:color="auto" w:fill="auto"/>
            <w:noWrap/>
            <w:vAlign w:val="center"/>
            <w:hideMark/>
          </w:tcPr>
          <w:p w14:paraId="66BB06C1" w14:textId="787BCF38" w:rsidR="00AB18A6" w:rsidRPr="00E50D18" w:rsidRDefault="00AB18A6" w:rsidP="00E50D18">
            <w:pPr>
              <w:pStyle w:val="ListParagraph"/>
              <w:numPr>
                <w:ilvl w:val="0"/>
                <w:numId w:val="5"/>
              </w:numPr>
              <w:spacing w:after="0" w:line="240" w:lineRule="auto"/>
              <w:ind w:left="311" w:hanging="426"/>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Définition d’un groupe DCI, d’une prescription en DCI et des principes d’élaboration de ces groupes DCI</w:t>
            </w:r>
          </w:p>
        </w:tc>
        <w:tc>
          <w:tcPr>
            <w:tcW w:w="1114" w:type="dxa"/>
            <w:tcBorders>
              <w:top w:val="nil"/>
              <w:left w:val="nil"/>
              <w:bottom w:val="nil"/>
              <w:right w:val="nil"/>
            </w:tcBorders>
            <w:shd w:val="clear" w:color="auto" w:fill="auto"/>
            <w:noWrap/>
            <w:vAlign w:val="center"/>
            <w:hideMark/>
          </w:tcPr>
          <w:p w14:paraId="2FFF1931" w14:textId="3E0D5A6B" w:rsidR="00AB18A6" w:rsidRPr="00E50D18" w:rsidRDefault="00DA44B1"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4</w:t>
            </w:r>
          </w:p>
        </w:tc>
      </w:tr>
      <w:tr w:rsidR="00E50D18" w:rsidRPr="00E50D18" w14:paraId="1A62C34B" w14:textId="77777777" w:rsidTr="00671F68">
        <w:trPr>
          <w:trHeight w:val="440"/>
        </w:trPr>
        <w:tc>
          <w:tcPr>
            <w:tcW w:w="8280" w:type="dxa"/>
            <w:tcBorders>
              <w:top w:val="nil"/>
              <w:left w:val="nil"/>
              <w:bottom w:val="nil"/>
              <w:right w:val="nil"/>
            </w:tcBorders>
            <w:shd w:val="clear" w:color="auto" w:fill="auto"/>
            <w:noWrap/>
            <w:vAlign w:val="center"/>
            <w:hideMark/>
          </w:tcPr>
          <w:p w14:paraId="1CDCCF1D" w14:textId="3EAA2C0C" w:rsidR="00AB18A6" w:rsidRPr="00E50D18" w:rsidRDefault="00AB18A6" w:rsidP="00E50D18">
            <w:pPr>
              <w:pStyle w:val="ListParagraph"/>
              <w:numPr>
                <w:ilvl w:val="0"/>
                <w:numId w:val="5"/>
              </w:numPr>
              <w:spacing w:after="0" w:line="240" w:lineRule="auto"/>
              <w:ind w:left="311" w:hanging="426"/>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 xml:space="preserve">Explication des caractéristiques majeures d’un groupe DCI </w:t>
            </w:r>
          </w:p>
        </w:tc>
        <w:tc>
          <w:tcPr>
            <w:tcW w:w="1114" w:type="dxa"/>
            <w:tcBorders>
              <w:top w:val="nil"/>
              <w:left w:val="nil"/>
              <w:bottom w:val="nil"/>
              <w:right w:val="nil"/>
            </w:tcBorders>
            <w:shd w:val="clear" w:color="auto" w:fill="auto"/>
            <w:noWrap/>
            <w:vAlign w:val="center"/>
            <w:hideMark/>
          </w:tcPr>
          <w:p w14:paraId="5E025424" w14:textId="77777777" w:rsidR="00AB18A6" w:rsidRPr="00E50D18" w:rsidRDefault="00AB18A6"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5</w:t>
            </w:r>
          </w:p>
        </w:tc>
      </w:tr>
      <w:tr w:rsidR="00E50D18" w:rsidRPr="00E50D18" w14:paraId="3E913334" w14:textId="77777777" w:rsidTr="00671F68">
        <w:trPr>
          <w:trHeight w:val="440"/>
        </w:trPr>
        <w:tc>
          <w:tcPr>
            <w:tcW w:w="8280" w:type="dxa"/>
            <w:tcBorders>
              <w:top w:val="nil"/>
              <w:left w:val="nil"/>
              <w:bottom w:val="nil"/>
              <w:right w:val="nil"/>
            </w:tcBorders>
            <w:shd w:val="clear" w:color="auto" w:fill="auto"/>
            <w:noWrap/>
            <w:vAlign w:val="center"/>
            <w:hideMark/>
          </w:tcPr>
          <w:p w14:paraId="59EAE265" w14:textId="7085552D" w:rsidR="00AB18A6" w:rsidRPr="00E50D18" w:rsidRDefault="00AB18A6" w:rsidP="00E50D18">
            <w:pPr>
              <w:pStyle w:val="ListParagraph"/>
              <w:spacing w:after="0" w:line="240" w:lineRule="auto"/>
              <w:ind w:left="594" w:hanging="283"/>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3.1</w:t>
            </w:r>
            <w:r w:rsidR="00DA44B1" w:rsidRPr="00E50D18">
              <w:rPr>
                <w:rFonts w:ascii="Verdana" w:eastAsia="Times New Roman" w:hAnsi="Verdana" w:cs="Calibri"/>
                <w:color w:val="000000" w:themeColor="text1"/>
                <w:sz w:val="18"/>
                <w:szCs w:val="18"/>
                <w:lang w:val="fr-BE" w:eastAsia="en-GB"/>
              </w:rPr>
              <w:tab/>
            </w:r>
            <w:r w:rsidRPr="00E50D18">
              <w:rPr>
                <w:rFonts w:ascii="Verdana" w:eastAsia="Times New Roman" w:hAnsi="Verdana" w:cs="Calibri"/>
                <w:color w:val="000000" w:themeColor="text1"/>
                <w:sz w:val="18"/>
                <w:szCs w:val="18"/>
                <w:lang w:val="fr-BE" w:eastAsia="en-GB"/>
              </w:rPr>
              <w:t>Substance active</w:t>
            </w:r>
          </w:p>
        </w:tc>
        <w:tc>
          <w:tcPr>
            <w:tcW w:w="1114" w:type="dxa"/>
            <w:tcBorders>
              <w:top w:val="nil"/>
              <w:left w:val="nil"/>
              <w:bottom w:val="nil"/>
              <w:right w:val="nil"/>
            </w:tcBorders>
            <w:shd w:val="clear" w:color="auto" w:fill="auto"/>
            <w:noWrap/>
            <w:vAlign w:val="center"/>
            <w:hideMark/>
          </w:tcPr>
          <w:p w14:paraId="22FC27D7" w14:textId="77777777" w:rsidR="00AB18A6" w:rsidRPr="00E50D18" w:rsidRDefault="00AB18A6"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5</w:t>
            </w:r>
          </w:p>
        </w:tc>
      </w:tr>
      <w:tr w:rsidR="00E50D18" w:rsidRPr="00E50D18" w14:paraId="6D55C1F7" w14:textId="77777777" w:rsidTr="00671F68">
        <w:trPr>
          <w:trHeight w:val="440"/>
        </w:trPr>
        <w:tc>
          <w:tcPr>
            <w:tcW w:w="8280" w:type="dxa"/>
            <w:tcBorders>
              <w:top w:val="nil"/>
              <w:left w:val="nil"/>
              <w:bottom w:val="nil"/>
              <w:right w:val="nil"/>
            </w:tcBorders>
            <w:shd w:val="clear" w:color="auto" w:fill="auto"/>
            <w:noWrap/>
            <w:vAlign w:val="center"/>
            <w:hideMark/>
          </w:tcPr>
          <w:p w14:paraId="63663265" w14:textId="0A354F82" w:rsidR="00AB18A6" w:rsidRPr="00E50D18" w:rsidRDefault="00AB18A6" w:rsidP="00E50D18">
            <w:pPr>
              <w:pStyle w:val="ListParagraph"/>
              <w:spacing w:after="0" w:line="240" w:lineRule="auto"/>
              <w:ind w:left="736" w:hanging="425"/>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3.2</w:t>
            </w:r>
            <w:r w:rsidR="00DA44B1" w:rsidRPr="00E50D18">
              <w:rPr>
                <w:rFonts w:ascii="Verdana" w:eastAsia="Times New Roman" w:hAnsi="Verdana" w:cs="Calibri"/>
                <w:color w:val="000000" w:themeColor="text1"/>
                <w:sz w:val="18"/>
                <w:szCs w:val="18"/>
                <w:lang w:val="fr-BE" w:eastAsia="en-GB"/>
              </w:rPr>
              <w:tab/>
            </w:r>
            <w:r w:rsidRPr="00E50D18">
              <w:rPr>
                <w:rFonts w:ascii="Verdana" w:eastAsia="Times New Roman" w:hAnsi="Verdana" w:cs="Calibri"/>
                <w:color w:val="000000" w:themeColor="text1"/>
                <w:sz w:val="18"/>
                <w:szCs w:val="18"/>
                <w:lang w:val="fr-BE" w:eastAsia="en-GB"/>
              </w:rPr>
              <w:t>Dosage</w:t>
            </w:r>
          </w:p>
        </w:tc>
        <w:tc>
          <w:tcPr>
            <w:tcW w:w="1114" w:type="dxa"/>
            <w:tcBorders>
              <w:top w:val="nil"/>
              <w:left w:val="nil"/>
              <w:bottom w:val="nil"/>
              <w:right w:val="nil"/>
            </w:tcBorders>
            <w:shd w:val="clear" w:color="auto" w:fill="auto"/>
            <w:noWrap/>
            <w:vAlign w:val="center"/>
            <w:hideMark/>
          </w:tcPr>
          <w:p w14:paraId="62A84B18" w14:textId="77777777" w:rsidR="00AB18A6" w:rsidRPr="00E50D18" w:rsidRDefault="00AB18A6"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5</w:t>
            </w:r>
          </w:p>
        </w:tc>
      </w:tr>
      <w:tr w:rsidR="00E50D18" w:rsidRPr="00E50D18" w14:paraId="4AB9E7AB" w14:textId="77777777" w:rsidTr="00671F68">
        <w:trPr>
          <w:trHeight w:val="440"/>
        </w:trPr>
        <w:tc>
          <w:tcPr>
            <w:tcW w:w="8280" w:type="dxa"/>
            <w:tcBorders>
              <w:top w:val="nil"/>
              <w:left w:val="nil"/>
              <w:bottom w:val="nil"/>
              <w:right w:val="nil"/>
            </w:tcBorders>
            <w:shd w:val="clear" w:color="auto" w:fill="auto"/>
            <w:noWrap/>
            <w:vAlign w:val="center"/>
            <w:hideMark/>
          </w:tcPr>
          <w:p w14:paraId="0DFF104D" w14:textId="0B9B766C" w:rsidR="00AB18A6" w:rsidRPr="00E50D18" w:rsidRDefault="00AB18A6" w:rsidP="00E50D18">
            <w:pPr>
              <w:pStyle w:val="ListParagraph"/>
              <w:spacing w:after="0" w:line="240" w:lineRule="auto"/>
              <w:ind w:left="736" w:hanging="425"/>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3.3</w:t>
            </w:r>
            <w:r w:rsidR="00DA44B1" w:rsidRPr="00E50D18">
              <w:rPr>
                <w:rFonts w:ascii="Verdana" w:eastAsia="Times New Roman" w:hAnsi="Verdana" w:cs="Calibri"/>
                <w:color w:val="000000" w:themeColor="text1"/>
                <w:sz w:val="18"/>
                <w:szCs w:val="18"/>
                <w:lang w:val="fr-BE" w:eastAsia="en-GB"/>
              </w:rPr>
              <w:tab/>
            </w:r>
            <w:r w:rsidRPr="00E50D18">
              <w:rPr>
                <w:rFonts w:ascii="Verdana" w:eastAsia="Times New Roman" w:hAnsi="Verdana" w:cs="Calibri"/>
                <w:color w:val="000000" w:themeColor="text1"/>
                <w:sz w:val="18"/>
                <w:szCs w:val="18"/>
                <w:lang w:val="fr-BE" w:eastAsia="en-GB"/>
              </w:rPr>
              <w:t xml:space="preserve">Voie d’administration, parfois combinée à d’autres caractéristiques spécifiques </w:t>
            </w:r>
          </w:p>
        </w:tc>
        <w:tc>
          <w:tcPr>
            <w:tcW w:w="1114" w:type="dxa"/>
            <w:tcBorders>
              <w:top w:val="nil"/>
              <w:left w:val="nil"/>
              <w:bottom w:val="nil"/>
              <w:right w:val="nil"/>
            </w:tcBorders>
            <w:shd w:val="clear" w:color="auto" w:fill="auto"/>
            <w:noWrap/>
            <w:vAlign w:val="center"/>
            <w:hideMark/>
          </w:tcPr>
          <w:p w14:paraId="0D211F49" w14:textId="04FB0055" w:rsidR="00AB18A6" w:rsidRPr="00E50D18" w:rsidRDefault="00DA44B1"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5</w:t>
            </w:r>
          </w:p>
        </w:tc>
      </w:tr>
      <w:tr w:rsidR="00E50D18" w:rsidRPr="00E50D18" w14:paraId="7E21C867" w14:textId="77777777" w:rsidTr="00671F68">
        <w:trPr>
          <w:trHeight w:val="440"/>
        </w:trPr>
        <w:tc>
          <w:tcPr>
            <w:tcW w:w="8280" w:type="dxa"/>
            <w:tcBorders>
              <w:top w:val="nil"/>
              <w:left w:val="nil"/>
              <w:bottom w:val="nil"/>
              <w:right w:val="nil"/>
            </w:tcBorders>
            <w:shd w:val="clear" w:color="auto" w:fill="auto"/>
            <w:noWrap/>
            <w:vAlign w:val="center"/>
            <w:hideMark/>
          </w:tcPr>
          <w:p w14:paraId="58F97525" w14:textId="2B480646" w:rsidR="00AB18A6" w:rsidRPr="00E50D18" w:rsidRDefault="00AB18A6" w:rsidP="00E50D18">
            <w:pPr>
              <w:pStyle w:val="ListParagraph"/>
              <w:numPr>
                <w:ilvl w:val="0"/>
                <w:numId w:val="5"/>
              </w:numPr>
              <w:spacing w:after="0" w:line="240" w:lineRule="auto"/>
              <w:ind w:left="311" w:hanging="311"/>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 xml:space="preserve">Spécifications supplémentaires </w:t>
            </w:r>
          </w:p>
        </w:tc>
        <w:tc>
          <w:tcPr>
            <w:tcW w:w="1114" w:type="dxa"/>
            <w:tcBorders>
              <w:top w:val="nil"/>
              <w:left w:val="nil"/>
              <w:bottom w:val="nil"/>
              <w:right w:val="nil"/>
            </w:tcBorders>
            <w:shd w:val="clear" w:color="auto" w:fill="auto"/>
            <w:noWrap/>
            <w:vAlign w:val="center"/>
            <w:hideMark/>
          </w:tcPr>
          <w:p w14:paraId="750FE71A" w14:textId="44BA76E4" w:rsidR="00AB18A6" w:rsidRPr="00E50D18" w:rsidRDefault="007027A1"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5</w:t>
            </w:r>
          </w:p>
        </w:tc>
      </w:tr>
      <w:tr w:rsidR="00E50D18" w:rsidRPr="00E50D18" w14:paraId="7C28D25F" w14:textId="77777777" w:rsidTr="00671F68">
        <w:trPr>
          <w:trHeight w:val="440"/>
        </w:trPr>
        <w:tc>
          <w:tcPr>
            <w:tcW w:w="8280" w:type="dxa"/>
            <w:tcBorders>
              <w:top w:val="nil"/>
              <w:left w:val="nil"/>
              <w:bottom w:val="nil"/>
              <w:right w:val="nil"/>
            </w:tcBorders>
            <w:shd w:val="clear" w:color="auto" w:fill="auto"/>
            <w:noWrap/>
            <w:vAlign w:val="center"/>
            <w:hideMark/>
          </w:tcPr>
          <w:p w14:paraId="71121046" w14:textId="2213F187" w:rsidR="00AB18A6" w:rsidRPr="00E50D18" w:rsidRDefault="00AB18A6" w:rsidP="00E50D18">
            <w:pPr>
              <w:pStyle w:val="ListParagraph"/>
              <w:numPr>
                <w:ilvl w:val="0"/>
                <w:numId w:val="5"/>
              </w:numPr>
              <w:spacing w:after="0" w:line="240" w:lineRule="auto"/>
              <w:ind w:left="311" w:hanging="311"/>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 xml:space="preserve">Groupes de médicaments pour lesquels il est déconseillé de prescrire en DCI (NO DCI) </w:t>
            </w:r>
          </w:p>
        </w:tc>
        <w:tc>
          <w:tcPr>
            <w:tcW w:w="1114" w:type="dxa"/>
            <w:tcBorders>
              <w:top w:val="nil"/>
              <w:left w:val="nil"/>
              <w:bottom w:val="nil"/>
              <w:right w:val="nil"/>
            </w:tcBorders>
            <w:shd w:val="clear" w:color="auto" w:fill="auto"/>
            <w:noWrap/>
            <w:vAlign w:val="center"/>
            <w:hideMark/>
          </w:tcPr>
          <w:p w14:paraId="5D074D2E" w14:textId="77777777" w:rsidR="00AB18A6" w:rsidRPr="00E50D18" w:rsidRDefault="00AB18A6"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6</w:t>
            </w:r>
          </w:p>
        </w:tc>
      </w:tr>
      <w:tr w:rsidR="00E50D18" w:rsidRPr="00E50D18" w14:paraId="144E21F3" w14:textId="77777777" w:rsidTr="00671F68">
        <w:trPr>
          <w:trHeight w:val="440"/>
        </w:trPr>
        <w:tc>
          <w:tcPr>
            <w:tcW w:w="8280" w:type="dxa"/>
            <w:tcBorders>
              <w:top w:val="nil"/>
              <w:left w:val="nil"/>
              <w:bottom w:val="nil"/>
              <w:right w:val="nil"/>
            </w:tcBorders>
            <w:shd w:val="clear" w:color="auto" w:fill="auto"/>
            <w:noWrap/>
            <w:vAlign w:val="center"/>
            <w:hideMark/>
          </w:tcPr>
          <w:p w14:paraId="451B7F99" w14:textId="450E74C6" w:rsidR="00AB18A6" w:rsidRPr="00E50D18" w:rsidRDefault="00AB18A6" w:rsidP="00E50D18">
            <w:pPr>
              <w:pStyle w:val="ListParagraph"/>
              <w:spacing w:after="0" w:line="240" w:lineRule="auto"/>
              <w:ind w:left="878" w:hanging="567"/>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5.1</w:t>
            </w:r>
            <w:r w:rsidR="007325CD" w:rsidRPr="00E50D18">
              <w:rPr>
                <w:rFonts w:ascii="Verdana" w:eastAsia="Times New Roman" w:hAnsi="Verdana" w:cs="Calibri"/>
                <w:color w:val="000000" w:themeColor="text1"/>
                <w:sz w:val="18"/>
                <w:szCs w:val="18"/>
                <w:lang w:val="fr-BE" w:eastAsia="en-GB"/>
              </w:rPr>
              <w:tab/>
            </w:r>
            <w:r w:rsidRPr="00E50D18">
              <w:rPr>
                <w:rFonts w:ascii="Verdana" w:eastAsia="Times New Roman" w:hAnsi="Verdana" w:cs="Calibri"/>
                <w:color w:val="000000" w:themeColor="text1"/>
                <w:sz w:val="18"/>
                <w:szCs w:val="18"/>
                <w:lang w:val="fr-BE" w:eastAsia="en-GB"/>
              </w:rPr>
              <w:t xml:space="preserve">Médicaments biologiques (y compris les </w:t>
            </w:r>
            <w:r w:rsidR="007325CD" w:rsidRPr="00E50D18">
              <w:rPr>
                <w:rFonts w:ascii="Verdana" w:eastAsia="Times New Roman" w:hAnsi="Verdana" w:cs="Calibri"/>
                <w:color w:val="000000" w:themeColor="text1"/>
                <w:sz w:val="18"/>
                <w:szCs w:val="18"/>
                <w:lang w:val="fr-BE" w:eastAsia="en-GB"/>
              </w:rPr>
              <w:t xml:space="preserve">médicaments </w:t>
            </w:r>
            <w:r w:rsidRPr="00E50D18">
              <w:rPr>
                <w:rFonts w:ascii="Verdana" w:eastAsia="Times New Roman" w:hAnsi="Verdana" w:cs="Calibri"/>
                <w:color w:val="000000" w:themeColor="text1"/>
                <w:sz w:val="18"/>
                <w:szCs w:val="18"/>
                <w:lang w:val="fr-BE" w:eastAsia="en-GB"/>
              </w:rPr>
              <w:t xml:space="preserve">biosimilaires) </w:t>
            </w:r>
          </w:p>
        </w:tc>
        <w:tc>
          <w:tcPr>
            <w:tcW w:w="1114" w:type="dxa"/>
            <w:tcBorders>
              <w:top w:val="nil"/>
              <w:left w:val="nil"/>
              <w:bottom w:val="nil"/>
              <w:right w:val="nil"/>
            </w:tcBorders>
            <w:shd w:val="clear" w:color="auto" w:fill="auto"/>
            <w:noWrap/>
            <w:vAlign w:val="center"/>
            <w:hideMark/>
          </w:tcPr>
          <w:p w14:paraId="4AFAD870" w14:textId="77777777" w:rsidR="00AB18A6" w:rsidRPr="00E50D18" w:rsidRDefault="00AB18A6"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6</w:t>
            </w:r>
          </w:p>
        </w:tc>
      </w:tr>
      <w:tr w:rsidR="00E50D18" w:rsidRPr="00E50D18" w14:paraId="38353C50" w14:textId="77777777" w:rsidTr="00671F68">
        <w:trPr>
          <w:trHeight w:val="440"/>
        </w:trPr>
        <w:tc>
          <w:tcPr>
            <w:tcW w:w="8280" w:type="dxa"/>
            <w:tcBorders>
              <w:top w:val="nil"/>
              <w:left w:val="nil"/>
              <w:bottom w:val="nil"/>
              <w:right w:val="nil"/>
            </w:tcBorders>
            <w:shd w:val="clear" w:color="auto" w:fill="auto"/>
            <w:noWrap/>
            <w:vAlign w:val="center"/>
            <w:hideMark/>
          </w:tcPr>
          <w:p w14:paraId="147911EA" w14:textId="7F9ADDB0" w:rsidR="00AB18A6" w:rsidRPr="00E50D18" w:rsidRDefault="00AB18A6" w:rsidP="00E50D18">
            <w:pPr>
              <w:pStyle w:val="ListParagraph"/>
              <w:spacing w:after="0" w:line="240" w:lineRule="auto"/>
              <w:ind w:left="878" w:hanging="567"/>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5.2</w:t>
            </w:r>
            <w:r w:rsidR="004D2B44" w:rsidRPr="00E50D18">
              <w:rPr>
                <w:rFonts w:ascii="Verdana" w:eastAsia="Times New Roman" w:hAnsi="Verdana" w:cs="Calibri"/>
                <w:color w:val="000000" w:themeColor="text1"/>
                <w:sz w:val="18"/>
                <w:szCs w:val="18"/>
                <w:lang w:val="fr-BE" w:eastAsia="en-GB"/>
              </w:rPr>
              <w:tab/>
            </w:r>
            <w:r w:rsidRPr="00E50D18">
              <w:rPr>
                <w:rFonts w:ascii="Verdana" w:eastAsia="Times New Roman" w:hAnsi="Verdana" w:cs="Calibri"/>
                <w:color w:val="000000" w:themeColor="text1"/>
                <w:sz w:val="18"/>
                <w:szCs w:val="18"/>
                <w:lang w:val="fr-BE" w:eastAsia="en-GB"/>
              </w:rPr>
              <w:t>Autres groupes de médicaments dont la prescription en DCI pourrait entrainer des problèmes</w:t>
            </w:r>
          </w:p>
        </w:tc>
        <w:tc>
          <w:tcPr>
            <w:tcW w:w="1114" w:type="dxa"/>
            <w:tcBorders>
              <w:top w:val="nil"/>
              <w:left w:val="nil"/>
              <w:bottom w:val="nil"/>
              <w:right w:val="nil"/>
            </w:tcBorders>
            <w:shd w:val="clear" w:color="auto" w:fill="auto"/>
            <w:noWrap/>
            <w:vAlign w:val="center"/>
            <w:hideMark/>
          </w:tcPr>
          <w:p w14:paraId="03B0FF0D" w14:textId="77777777" w:rsidR="00AB18A6" w:rsidRPr="00E50D18" w:rsidRDefault="00AB18A6"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7</w:t>
            </w:r>
          </w:p>
        </w:tc>
      </w:tr>
      <w:tr w:rsidR="00E50D18" w:rsidRPr="00E50D18" w14:paraId="122A9ECC" w14:textId="77777777" w:rsidTr="00671F68">
        <w:trPr>
          <w:trHeight w:val="440"/>
        </w:trPr>
        <w:tc>
          <w:tcPr>
            <w:tcW w:w="8280" w:type="dxa"/>
            <w:tcBorders>
              <w:top w:val="nil"/>
              <w:left w:val="nil"/>
              <w:bottom w:val="nil"/>
              <w:right w:val="nil"/>
            </w:tcBorders>
            <w:shd w:val="clear" w:color="auto" w:fill="auto"/>
            <w:noWrap/>
            <w:vAlign w:val="center"/>
            <w:hideMark/>
          </w:tcPr>
          <w:p w14:paraId="6D579171" w14:textId="42AB3DD4" w:rsidR="00AB18A6" w:rsidRPr="00E50D18" w:rsidRDefault="00AB18A6" w:rsidP="00E50D18">
            <w:pPr>
              <w:pStyle w:val="ListParagraph"/>
              <w:numPr>
                <w:ilvl w:val="0"/>
                <w:numId w:val="5"/>
              </w:numPr>
              <w:spacing w:after="0" w:line="240" w:lineRule="auto"/>
              <w:ind w:left="311" w:hanging="311"/>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Cas particuliers des stupéfiants et assimilés (DCI+)</w:t>
            </w:r>
          </w:p>
        </w:tc>
        <w:tc>
          <w:tcPr>
            <w:tcW w:w="1114" w:type="dxa"/>
            <w:tcBorders>
              <w:top w:val="nil"/>
              <w:left w:val="nil"/>
              <w:bottom w:val="nil"/>
              <w:right w:val="nil"/>
            </w:tcBorders>
            <w:shd w:val="clear" w:color="auto" w:fill="auto"/>
            <w:noWrap/>
            <w:vAlign w:val="center"/>
            <w:hideMark/>
          </w:tcPr>
          <w:p w14:paraId="537387B9" w14:textId="1448321A" w:rsidR="00AB18A6" w:rsidRPr="00E50D18" w:rsidRDefault="00E20DB7"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7</w:t>
            </w:r>
          </w:p>
        </w:tc>
      </w:tr>
      <w:tr w:rsidR="00E50D18" w:rsidRPr="00E50D18" w14:paraId="447E942F" w14:textId="77777777" w:rsidTr="00671F68">
        <w:trPr>
          <w:trHeight w:val="440"/>
        </w:trPr>
        <w:tc>
          <w:tcPr>
            <w:tcW w:w="8280" w:type="dxa"/>
            <w:tcBorders>
              <w:top w:val="nil"/>
              <w:left w:val="nil"/>
              <w:bottom w:val="nil"/>
              <w:right w:val="nil"/>
            </w:tcBorders>
            <w:shd w:val="clear" w:color="auto" w:fill="auto"/>
            <w:noWrap/>
            <w:vAlign w:val="center"/>
            <w:hideMark/>
          </w:tcPr>
          <w:p w14:paraId="05ADA335" w14:textId="75931021" w:rsidR="00AB18A6" w:rsidRPr="00E50D18" w:rsidRDefault="00AB18A6" w:rsidP="00E50D18">
            <w:pPr>
              <w:pStyle w:val="ListParagraph"/>
              <w:numPr>
                <w:ilvl w:val="0"/>
                <w:numId w:val="5"/>
              </w:numPr>
              <w:spacing w:after="0" w:line="240" w:lineRule="auto"/>
              <w:ind w:left="311" w:hanging="311"/>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Groupes de médicaments pour lesquels il est préférable que le choix initial soit maintenu (NO SWITCH)</w:t>
            </w:r>
          </w:p>
        </w:tc>
        <w:tc>
          <w:tcPr>
            <w:tcW w:w="1114" w:type="dxa"/>
            <w:tcBorders>
              <w:top w:val="nil"/>
              <w:left w:val="nil"/>
              <w:bottom w:val="nil"/>
              <w:right w:val="nil"/>
            </w:tcBorders>
            <w:shd w:val="clear" w:color="auto" w:fill="auto"/>
            <w:noWrap/>
            <w:vAlign w:val="center"/>
            <w:hideMark/>
          </w:tcPr>
          <w:p w14:paraId="715AD3DC" w14:textId="1F288764" w:rsidR="00AB18A6" w:rsidRPr="00E50D18" w:rsidRDefault="00E20DB7"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8</w:t>
            </w:r>
          </w:p>
        </w:tc>
      </w:tr>
      <w:tr w:rsidR="00E50D18" w:rsidRPr="00E50D18" w14:paraId="4D180383" w14:textId="77777777" w:rsidTr="00671F68">
        <w:trPr>
          <w:trHeight w:val="440"/>
        </w:trPr>
        <w:tc>
          <w:tcPr>
            <w:tcW w:w="8280" w:type="dxa"/>
            <w:tcBorders>
              <w:top w:val="nil"/>
              <w:left w:val="nil"/>
              <w:bottom w:val="nil"/>
              <w:right w:val="nil"/>
            </w:tcBorders>
            <w:shd w:val="clear" w:color="auto" w:fill="auto"/>
            <w:noWrap/>
            <w:vAlign w:val="center"/>
            <w:hideMark/>
          </w:tcPr>
          <w:p w14:paraId="4707B341" w14:textId="766532E5" w:rsidR="00AB18A6" w:rsidRPr="00E50D18" w:rsidRDefault="00AB18A6" w:rsidP="00E50D18">
            <w:pPr>
              <w:pStyle w:val="ListParagraph"/>
              <w:spacing w:after="0" w:line="240" w:lineRule="auto"/>
              <w:ind w:left="879" w:hanging="567"/>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7.1</w:t>
            </w:r>
            <w:r w:rsidR="00220722" w:rsidRPr="00E50D18">
              <w:rPr>
                <w:rFonts w:ascii="Verdana" w:eastAsia="Times New Roman" w:hAnsi="Verdana" w:cs="Calibri"/>
                <w:color w:val="000000" w:themeColor="text1"/>
                <w:sz w:val="18"/>
                <w:szCs w:val="18"/>
                <w:lang w:val="fr-BE" w:eastAsia="en-GB"/>
              </w:rPr>
              <w:tab/>
            </w:r>
            <w:r w:rsidRPr="00E50D18">
              <w:rPr>
                <w:rFonts w:ascii="Verdana" w:eastAsia="Times New Roman" w:hAnsi="Verdana" w:cs="Calibri"/>
                <w:color w:val="000000" w:themeColor="text1"/>
                <w:sz w:val="18"/>
                <w:szCs w:val="18"/>
                <w:lang w:val="fr-BE" w:eastAsia="en-GB"/>
              </w:rPr>
              <w:t>Médicaments à marge thérapeutique-toxique étroite et/ou à dose critique</w:t>
            </w:r>
          </w:p>
        </w:tc>
        <w:tc>
          <w:tcPr>
            <w:tcW w:w="1114" w:type="dxa"/>
            <w:tcBorders>
              <w:top w:val="nil"/>
              <w:left w:val="nil"/>
              <w:bottom w:val="nil"/>
              <w:right w:val="nil"/>
            </w:tcBorders>
            <w:shd w:val="clear" w:color="auto" w:fill="auto"/>
            <w:noWrap/>
            <w:vAlign w:val="center"/>
            <w:hideMark/>
          </w:tcPr>
          <w:p w14:paraId="0D7498D6" w14:textId="60827CC3" w:rsidR="00AB18A6" w:rsidRPr="00E50D18" w:rsidRDefault="00950858"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8</w:t>
            </w:r>
          </w:p>
        </w:tc>
      </w:tr>
      <w:tr w:rsidR="00617DEF" w:rsidRPr="00E50D18" w14:paraId="18E5ABFB" w14:textId="77777777" w:rsidTr="00671F68">
        <w:trPr>
          <w:trHeight w:val="440"/>
        </w:trPr>
        <w:tc>
          <w:tcPr>
            <w:tcW w:w="8280" w:type="dxa"/>
            <w:tcBorders>
              <w:top w:val="nil"/>
              <w:left w:val="nil"/>
              <w:bottom w:val="nil"/>
              <w:right w:val="nil"/>
            </w:tcBorders>
            <w:shd w:val="clear" w:color="auto" w:fill="auto"/>
            <w:noWrap/>
            <w:vAlign w:val="center"/>
          </w:tcPr>
          <w:p w14:paraId="1F835760" w14:textId="66EF6C15" w:rsidR="00617DEF" w:rsidRPr="00E50D18" w:rsidRDefault="00617DEF" w:rsidP="00E50D18">
            <w:pPr>
              <w:pStyle w:val="ListParagraph"/>
              <w:spacing w:after="0" w:line="240" w:lineRule="auto"/>
              <w:ind w:left="879" w:hanging="567"/>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7.2</w:t>
            </w:r>
            <w:r w:rsidRPr="00E50D18">
              <w:rPr>
                <w:rFonts w:ascii="Verdana" w:eastAsia="Times New Roman" w:hAnsi="Verdana" w:cs="Calibri"/>
                <w:color w:val="000000" w:themeColor="text1"/>
                <w:sz w:val="18"/>
                <w:szCs w:val="18"/>
                <w:lang w:val="fr-BE" w:eastAsia="en-GB"/>
              </w:rPr>
              <w:tab/>
              <w:t>Autres médicaments dans la catégorie NO SWITCH</w:t>
            </w:r>
          </w:p>
        </w:tc>
        <w:tc>
          <w:tcPr>
            <w:tcW w:w="1114" w:type="dxa"/>
            <w:tcBorders>
              <w:top w:val="nil"/>
              <w:left w:val="nil"/>
              <w:bottom w:val="nil"/>
              <w:right w:val="nil"/>
            </w:tcBorders>
            <w:shd w:val="clear" w:color="auto" w:fill="auto"/>
            <w:noWrap/>
            <w:vAlign w:val="center"/>
          </w:tcPr>
          <w:p w14:paraId="0CBBBA45" w14:textId="6D22AF8B" w:rsidR="00617DEF" w:rsidRPr="00E50D18" w:rsidRDefault="00950858"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9</w:t>
            </w:r>
          </w:p>
        </w:tc>
      </w:tr>
      <w:tr w:rsidR="00617DEF" w:rsidRPr="00E50D18" w14:paraId="04B7E65A" w14:textId="77777777" w:rsidTr="00671F68">
        <w:trPr>
          <w:trHeight w:val="440"/>
        </w:trPr>
        <w:tc>
          <w:tcPr>
            <w:tcW w:w="8280" w:type="dxa"/>
            <w:tcBorders>
              <w:top w:val="nil"/>
              <w:left w:val="nil"/>
              <w:bottom w:val="nil"/>
              <w:right w:val="nil"/>
            </w:tcBorders>
            <w:shd w:val="clear" w:color="auto" w:fill="auto"/>
            <w:noWrap/>
            <w:vAlign w:val="center"/>
          </w:tcPr>
          <w:p w14:paraId="2DE5AE7B" w14:textId="04CD8043" w:rsidR="00617DEF" w:rsidRPr="00E50D18" w:rsidRDefault="00617DEF" w:rsidP="00E50D18">
            <w:pPr>
              <w:pStyle w:val="ListParagraph"/>
              <w:spacing w:after="0" w:line="240" w:lineRule="auto"/>
              <w:ind w:left="879" w:hanging="567"/>
              <w:contextualSpacing w:val="0"/>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7.3</w:t>
            </w:r>
            <w:r>
              <w:rPr>
                <w:rFonts w:ascii="Verdana" w:eastAsia="Times New Roman" w:hAnsi="Verdana" w:cs="Calibri"/>
                <w:color w:val="000000" w:themeColor="text1"/>
                <w:sz w:val="18"/>
                <w:szCs w:val="18"/>
                <w:lang w:val="fr-BE" w:eastAsia="en-GB"/>
              </w:rPr>
              <w:tab/>
            </w:r>
            <w:r w:rsidRPr="00617DEF">
              <w:rPr>
                <w:rFonts w:ascii="Verdana" w:eastAsia="Times New Roman" w:hAnsi="Verdana" w:cs="Calibri"/>
                <w:color w:val="000000" w:themeColor="text1"/>
                <w:sz w:val="18"/>
                <w:szCs w:val="18"/>
                <w:lang w:val="fr-BE" w:eastAsia="en-GB"/>
              </w:rPr>
              <w:t>Cas spécifique des médicaments biosimilaires</w:t>
            </w:r>
          </w:p>
        </w:tc>
        <w:tc>
          <w:tcPr>
            <w:tcW w:w="1114" w:type="dxa"/>
            <w:tcBorders>
              <w:top w:val="nil"/>
              <w:left w:val="nil"/>
              <w:bottom w:val="nil"/>
              <w:right w:val="nil"/>
            </w:tcBorders>
            <w:shd w:val="clear" w:color="auto" w:fill="auto"/>
            <w:noWrap/>
            <w:vAlign w:val="center"/>
          </w:tcPr>
          <w:p w14:paraId="5F636F76" w14:textId="57669AA3" w:rsidR="00617DEF" w:rsidRPr="00E50D18" w:rsidRDefault="00617DEF" w:rsidP="00E50D18">
            <w:pPr>
              <w:pStyle w:val="ListParagraph"/>
              <w:spacing w:after="0" w:line="240" w:lineRule="auto"/>
              <w:ind w:left="319" w:hanging="319"/>
              <w:contextualSpacing w:val="0"/>
              <w:jc w:val="right"/>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0</w:t>
            </w:r>
          </w:p>
        </w:tc>
      </w:tr>
      <w:tr w:rsidR="00617DEF" w:rsidRPr="00617DEF" w14:paraId="37776295" w14:textId="77777777" w:rsidTr="00671F68">
        <w:trPr>
          <w:trHeight w:val="440"/>
        </w:trPr>
        <w:tc>
          <w:tcPr>
            <w:tcW w:w="8280" w:type="dxa"/>
            <w:tcBorders>
              <w:top w:val="nil"/>
              <w:left w:val="nil"/>
              <w:bottom w:val="nil"/>
              <w:right w:val="nil"/>
            </w:tcBorders>
            <w:shd w:val="clear" w:color="auto" w:fill="auto"/>
            <w:noWrap/>
            <w:vAlign w:val="center"/>
            <w:hideMark/>
          </w:tcPr>
          <w:p w14:paraId="70247610" w14:textId="7F0A9B16" w:rsidR="00AB18A6" w:rsidRPr="00617DEF" w:rsidRDefault="001B5A39" w:rsidP="001B5A39">
            <w:pPr>
              <w:spacing w:after="0" w:line="240" w:lineRule="auto"/>
              <w:ind w:left="311" w:hanging="311"/>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8</w:t>
            </w:r>
            <w:r w:rsidR="002D45ED">
              <w:rPr>
                <w:rFonts w:ascii="Verdana" w:eastAsia="Times New Roman" w:hAnsi="Verdana" w:cs="Calibri"/>
                <w:color w:val="000000" w:themeColor="text1"/>
                <w:sz w:val="18"/>
                <w:szCs w:val="18"/>
                <w:lang w:val="fr-BE" w:eastAsia="en-GB"/>
              </w:rPr>
              <w:t>.</w:t>
            </w:r>
            <w:r>
              <w:rPr>
                <w:rFonts w:ascii="Verdana" w:eastAsia="Times New Roman" w:hAnsi="Verdana" w:cs="Calibri"/>
                <w:color w:val="000000" w:themeColor="text1"/>
                <w:sz w:val="18"/>
                <w:szCs w:val="18"/>
                <w:lang w:val="fr-BE" w:eastAsia="en-GB"/>
              </w:rPr>
              <w:tab/>
              <w:t>S</w:t>
            </w:r>
            <w:r w:rsidR="00AB18A6" w:rsidRPr="00617DEF">
              <w:rPr>
                <w:rFonts w:ascii="Verdana" w:eastAsia="Times New Roman" w:hAnsi="Verdana" w:cs="Calibri"/>
                <w:color w:val="000000" w:themeColor="text1"/>
                <w:sz w:val="18"/>
                <w:szCs w:val="18"/>
                <w:lang w:val="fr-BE" w:eastAsia="en-GB"/>
              </w:rPr>
              <w:t xml:space="preserve">els, esters ou complexes d’une même substance active </w:t>
            </w:r>
          </w:p>
        </w:tc>
        <w:tc>
          <w:tcPr>
            <w:tcW w:w="1114" w:type="dxa"/>
            <w:tcBorders>
              <w:top w:val="nil"/>
              <w:left w:val="nil"/>
              <w:bottom w:val="nil"/>
              <w:right w:val="nil"/>
            </w:tcBorders>
            <w:shd w:val="clear" w:color="auto" w:fill="auto"/>
            <w:noWrap/>
            <w:vAlign w:val="center"/>
            <w:hideMark/>
          </w:tcPr>
          <w:p w14:paraId="41D22F8F" w14:textId="468132F4" w:rsidR="00AB18A6" w:rsidRPr="00617DEF"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617DEF">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1</w:t>
            </w:r>
          </w:p>
        </w:tc>
      </w:tr>
      <w:tr w:rsidR="00E50D18" w:rsidRPr="00E50D18" w14:paraId="4DEE66B5" w14:textId="77777777" w:rsidTr="00671F68">
        <w:trPr>
          <w:trHeight w:val="440"/>
        </w:trPr>
        <w:tc>
          <w:tcPr>
            <w:tcW w:w="8280" w:type="dxa"/>
            <w:tcBorders>
              <w:top w:val="nil"/>
              <w:left w:val="nil"/>
              <w:bottom w:val="nil"/>
              <w:right w:val="nil"/>
            </w:tcBorders>
            <w:shd w:val="clear" w:color="auto" w:fill="auto"/>
            <w:noWrap/>
            <w:vAlign w:val="center"/>
            <w:hideMark/>
          </w:tcPr>
          <w:p w14:paraId="7A0DBB9A" w14:textId="77777777" w:rsidR="00AB18A6" w:rsidRPr="00E50D18" w:rsidRDefault="00AB18A6" w:rsidP="00E50D18">
            <w:pPr>
              <w:pStyle w:val="ListParagraph"/>
              <w:spacing w:after="0" w:line="240" w:lineRule="auto"/>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8.1 Amlodipine</w:t>
            </w:r>
          </w:p>
        </w:tc>
        <w:tc>
          <w:tcPr>
            <w:tcW w:w="1114" w:type="dxa"/>
            <w:tcBorders>
              <w:top w:val="nil"/>
              <w:left w:val="nil"/>
              <w:bottom w:val="nil"/>
              <w:right w:val="nil"/>
            </w:tcBorders>
            <w:shd w:val="clear" w:color="auto" w:fill="auto"/>
            <w:noWrap/>
            <w:vAlign w:val="center"/>
            <w:hideMark/>
          </w:tcPr>
          <w:p w14:paraId="7BE2FC1A" w14:textId="5F314CF2" w:rsidR="00AB18A6" w:rsidRPr="00E50D18"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1</w:t>
            </w:r>
          </w:p>
        </w:tc>
      </w:tr>
      <w:tr w:rsidR="00E50D18" w:rsidRPr="00E50D18" w14:paraId="2531D022" w14:textId="77777777" w:rsidTr="00671F68">
        <w:trPr>
          <w:trHeight w:val="440"/>
        </w:trPr>
        <w:tc>
          <w:tcPr>
            <w:tcW w:w="8280" w:type="dxa"/>
            <w:tcBorders>
              <w:top w:val="nil"/>
              <w:left w:val="nil"/>
              <w:bottom w:val="nil"/>
              <w:right w:val="nil"/>
            </w:tcBorders>
            <w:shd w:val="clear" w:color="auto" w:fill="auto"/>
            <w:noWrap/>
            <w:vAlign w:val="center"/>
            <w:hideMark/>
          </w:tcPr>
          <w:p w14:paraId="4DE711EF" w14:textId="77777777" w:rsidR="00AB18A6" w:rsidRPr="00E50D18" w:rsidRDefault="00AB18A6" w:rsidP="00E50D18">
            <w:pPr>
              <w:pStyle w:val="ListParagraph"/>
              <w:spacing w:after="0" w:line="240" w:lineRule="auto"/>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8.2 Métoprolol</w:t>
            </w:r>
          </w:p>
        </w:tc>
        <w:tc>
          <w:tcPr>
            <w:tcW w:w="1114" w:type="dxa"/>
            <w:tcBorders>
              <w:top w:val="nil"/>
              <w:left w:val="nil"/>
              <w:bottom w:val="nil"/>
              <w:right w:val="nil"/>
            </w:tcBorders>
            <w:shd w:val="clear" w:color="auto" w:fill="auto"/>
            <w:noWrap/>
            <w:vAlign w:val="center"/>
            <w:hideMark/>
          </w:tcPr>
          <w:p w14:paraId="34A7D20B" w14:textId="2041EEB5" w:rsidR="00AB18A6" w:rsidRPr="00E50D18"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1</w:t>
            </w:r>
          </w:p>
        </w:tc>
      </w:tr>
      <w:tr w:rsidR="00E50D18" w:rsidRPr="00E50D18" w14:paraId="6E41ADD0" w14:textId="77777777" w:rsidTr="00671F68">
        <w:trPr>
          <w:trHeight w:val="440"/>
        </w:trPr>
        <w:tc>
          <w:tcPr>
            <w:tcW w:w="8280" w:type="dxa"/>
            <w:tcBorders>
              <w:top w:val="nil"/>
              <w:left w:val="nil"/>
              <w:bottom w:val="nil"/>
              <w:right w:val="nil"/>
            </w:tcBorders>
            <w:shd w:val="clear" w:color="auto" w:fill="auto"/>
            <w:noWrap/>
            <w:vAlign w:val="center"/>
            <w:hideMark/>
          </w:tcPr>
          <w:p w14:paraId="030A5D8E" w14:textId="77777777" w:rsidR="00AB18A6" w:rsidRPr="00E50D18" w:rsidRDefault="00AB18A6" w:rsidP="00E50D18">
            <w:pPr>
              <w:pStyle w:val="ListParagraph"/>
              <w:spacing w:after="0" w:line="240" w:lineRule="auto"/>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8.3 Diclofénac</w:t>
            </w:r>
          </w:p>
        </w:tc>
        <w:tc>
          <w:tcPr>
            <w:tcW w:w="1114" w:type="dxa"/>
            <w:tcBorders>
              <w:top w:val="nil"/>
              <w:left w:val="nil"/>
              <w:bottom w:val="nil"/>
              <w:right w:val="nil"/>
            </w:tcBorders>
            <w:shd w:val="clear" w:color="auto" w:fill="auto"/>
            <w:noWrap/>
            <w:vAlign w:val="center"/>
            <w:hideMark/>
          </w:tcPr>
          <w:p w14:paraId="3FB3C2B7" w14:textId="74731871" w:rsidR="00AB18A6" w:rsidRPr="00E50D18"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1</w:t>
            </w:r>
          </w:p>
        </w:tc>
      </w:tr>
      <w:tr w:rsidR="00E50D18" w:rsidRPr="00E50D18" w14:paraId="4721674B" w14:textId="77777777" w:rsidTr="00671F68">
        <w:trPr>
          <w:trHeight w:val="440"/>
        </w:trPr>
        <w:tc>
          <w:tcPr>
            <w:tcW w:w="8280" w:type="dxa"/>
            <w:tcBorders>
              <w:top w:val="nil"/>
              <w:left w:val="nil"/>
              <w:bottom w:val="nil"/>
              <w:right w:val="nil"/>
            </w:tcBorders>
            <w:shd w:val="clear" w:color="auto" w:fill="auto"/>
            <w:noWrap/>
            <w:vAlign w:val="center"/>
            <w:hideMark/>
          </w:tcPr>
          <w:p w14:paraId="68B5F268" w14:textId="77777777" w:rsidR="00AB18A6" w:rsidRPr="00E50D18" w:rsidRDefault="00AB18A6" w:rsidP="00E50D18">
            <w:pPr>
              <w:pStyle w:val="ListParagraph"/>
              <w:spacing w:after="0" w:line="240" w:lineRule="auto"/>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8.4 Piroxicam</w:t>
            </w:r>
          </w:p>
        </w:tc>
        <w:tc>
          <w:tcPr>
            <w:tcW w:w="1114" w:type="dxa"/>
            <w:tcBorders>
              <w:top w:val="nil"/>
              <w:left w:val="nil"/>
              <w:bottom w:val="nil"/>
              <w:right w:val="nil"/>
            </w:tcBorders>
            <w:shd w:val="clear" w:color="auto" w:fill="auto"/>
            <w:noWrap/>
            <w:vAlign w:val="center"/>
            <w:hideMark/>
          </w:tcPr>
          <w:p w14:paraId="272164B6" w14:textId="321811D5" w:rsidR="00AB18A6" w:rsidRPr="00E50D18"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1</w:t>
            </w:r>
          </w:p>
        </w:tc>
      </w:tr>
      <w:tr w:rsidR="00E50D18" w:rsidRPr="00E50D18" w14:paraId="3DF9F51E" w14:textId="77777777" w:rsidTr="00671F68">
        <w:trPr>
          <w:trHeight w:val="440"/>
        </w:trPr>
        <w:tc>
          <w:tcPr>
            <w:tcW w:w="8280" w:type="dxa"/>
            <w:tcBorders>
              <w:top w:val="nil"/>
              <w:left w:val="nil"/>
              <w:bottom w:val="nil"/>
              <w:right w:val="nil"/>
            </w:tcBorders>
            <w:shd w:val="clear" w:color="auto" w:fill="auto"/>
            <w:noWrap/>
            <w:vAlign w:val="center"/>
            <w:hideMark/>
          </w:tcPr>
          <w:p w14:paraId="67848588" w14:textId="77777777" w:rsidR="00AB18A6" w:rsidRPr="00E50D18" w:rsidRDefault="00AB18A6" w:rsidP="00E50D18">
            <w:pPr>
              <w:pStyle w:val="ListParagraph"/>
              <w:spacing w:after="0" w:line="240" w:lineRule="auto"/>
              <w:contextualSpacing w:val="0"/>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 xml:space="preserve">8.5 Périndopril </w:t>
            </w:r>
          </w:p>
        </w:tc>
        <w:tc>
          <w:tcPr>
            <w:tcW w:w="1114" w:type="dxa"/>
            <w:tcBorders>
              <w:top w:val="nil"/>
              <w:left w:val="nil"/>
              <w:bottom w:val="nil"/>
              <w:right w:val="nil"/>
            </w:tcBorders>
            <w:shd w:val="clear" w:color="auto" w:fill="auto"/>
            <w:noWrap/>
            <w:vAlign w:val="center"/>
            <w:hideMark/>
          </w:tcPr>
          <w:p w14:paraId="620391B7" w14:textId="6773A6BD" w:rsidR="00AB18A6" w:rsidRPr="00E50D18"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1</w:t>
            </w:r>
          </w:p>
        </w:tc>
      </w:tr>
      <w:tr w:rsidR="00E50D18" w:rsidRPr="00E50D18" w14:paraId="05E49112" w14:textId="77777777" w:rsidTr="00671F68">
        <w:trPr>
          <w:trHeight w:val="440"/>
        </w:trPr>
        <w:tc>
          <w:tcPr>
            <w:tcW w:w="8280" w:type="dxa"/>
            <w:tcBorders>
              <w:top w:val="nil"/>
              <w:left w:val="nil"/>
              <w:bottom w:val="nil"/>
              <w:right w:val="nil"/>
            </w:tcBorders>
            <w:shd w:val="clear" w:color="auto" w:fill="auto"/>
            <w:noWrap/>
            <w:vAlign w:val="center"/>
            <w:hideMark/>
          </w:tcPr>
          <w:p w14:paraId="393D5F5C" w14:textId="7B797F03" w:rsidR="00AB18A6" w:rsidRPr="00617DEF" w:rsidRDefault="002D45ED" w:rsidP="002D45ED">
            <w:pPr>
              <w:spacing w:after="0" w:line="240" w:lineRule="auto"/>
              <w:ind w:left="452" w:hanging="452"/>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9.</w:t>
            </w:r>
            <w:r>
              <w:rPr>
                <w:rFonts w:ascii="Verdana" w:eastAsia="Times New Roman" w:hAnsi="Verdana" w:cs="Calibri"/>
                <w:color w:val="000000" w:themeColor="text1"/>
                <w:sz w:val="18"/>
                <w:szCs w:val="18"/>
                <w:lang w:val="fr-BE" w:eastAsia="en-GB"/>
              </w:rPr>
              <w:tab/>
            </w:r>
            <w:r w:rsidR="00AB18A6" w:rsidRPr="00617DEF">
              <w:rPr>
                <w:rFonts w:ascii="Verdana" w:eastAsia="Times New Roman" w:hAnsi="Verdana" w:cs="Calibri"/>
                <w:color w:val="000000" w:themeColor="text1"/>
                <w:sz w:val="18"/>
                <w:szCs w:val="18"/>
                <w:lang w:val="fr-BE" w:eastAsia="en-GB"/>
              </w:rPr>
              <w:t>Différences d’excipients dans un groupe DCI</w:t>
            </w:r>
          </w:p>
        </w:tc>
        <w:tc>
          <w:tcPr>
            <w:tcW w:w="1114" w:type="dxa"/>
            <w:tcBorders>
              <w:top w:val="nil"/>
              <w:left w:val="nil"/>
              <w:bottom w:val="nil"/>
              <w:right w:val="nil"/>
            </w:tcBorders>
            <w:shd w:val="clear" w:color="auto" w:fill="auto"/>
            <w:noWrap/>
            <w:vAlign w:val="center"/>
            <w:hideMark/>
          </w:tcPr>
          <w:p w14:paraId="02800FA3" w14:textId="0E456C27" w:rsidR="00AB18A6" w:rsidRPr="00E50D18"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1</w:t>
            </w:r>
          </w:p>
        </w:tc>
      </w:tr>
      <w:tr w:rsidR="00E50D18" w:rsidRPr="00E50D18" w14:paraId="1DEC8B49" w14:textId="77777777" w:rsidTr="00671F68">
        <w:trPr>
          <w:trHeight w:val="440"/>
        </w:trPr>
        <w:tc>
          <w:tcPr>
            <w:tcW w:w="8280" w:type="dxa"/>
            <w:tcBorders>
              <w:top w:val="nil"/>
              <w:left w:val="nil"/>
              <w:bottom w:val="nil"/>
              <w:right w:val="nil"/>
            </w:tcBorders>
            <w:shd w:val="clear" w:color="auto" w:fill="auto"/>
            <w:noWrap/>
            <w:vAlign w:val="center"/>
            <w:hideMark/>
          </w:tcPr>
          <w:p w14:paraId="2C9E2381" w14:textId="0856DE3C" w:rsidR="00AB18A6" w:rsidRPr="00617DEF" w:rsidRDefault="002D45ED" w:rsidP="002D45ED">
            <w:pPr>
              <w:spacing w:after="0" w:line="240" w:lineRule="auto"/>
              <w:ind w:left="452" w:hanging="452"/>
              <w:rPr>
                <w:rFonts w:ascii="Verdana" w:eastAsia="Times New Roman" w:hAnsi="Verdana" w:cs="Calibri"/>
                <w:color w:val="000000" w:themeColor="text1"/>
                <w:sz w:val="18"/>
                <w:szCs w:val="18"/>
                <w:lang w:val="fr-BE" w:eastAsia="en-GB"/>
              </w:rPr>
            </w:pPr>
            <w:r>
              <w:rPr>
                <w:rFonts w:ascii="Verdana" w:eastAsia="Times New Roman" w:hAnsi="Verdana" w:cs="Calibri"/>
                <w:color w:val="000000" w:themeColor="text1"/>
                <w:sz w:val="18"/>
                <w:szCs w:val="18"/>
                <w:lang w:val="fr-BE" w:eastAsia="en-GB"/>
              </w:rPr>
              <w:t>10.</w:t>
            </w:r>
            <w:r>
              <w:rPr>
                <w:rFonts w:ascii="Verdana" w:eastAsia="Times New Roman" w:hAnsi="Verdana" w:cs="Calibri"/>
                <w:color w:val="000000" w:themeColor="text1"/>
                <w:sz w:val="18"/>
                <w:szCs w:val="18"/>
                <w:lang w:val="fr-BE" w:eastAsia="en-GB"/>
              </w:rPr>
              <w:tab/>
            </w:r>
            <w:r w:rsidR="00AB18A6" w:rsidRPr="00617DEF">
              <w:rPr>
                <w:rFonts w:ascii="Verdana" w:eastAsia="Times New Roman" w:hAnsi="Verdana" w:cs="Calibri"/>
                <w:color w:val="000000" w:themeColor="text1"/>
                <w:sz w:val="18"/>
                <w:szCs w:val="18"/>
                <w:lang w:val="fr-BE" w:eastAsia="en-GB"/>
              </w:rPr>
              <w:t>Références</w:t>
            </w:r>
          </w:p>
        </w:tc>
        <w:tc>
          <w:tcPr>
            <w:tcW w:w="1114" w:type="dxa"/>
            <w:tcBorders>
              <w:top w:val="nil"/>
              <w:left w:val="nil"/>
              <w:bottom w:val="nil"/>
              <w:right w:val="nil"/>
            </w:tcBorders>
            <w:shd w:val="clear" w:color="auto" w:fill="auto"/>
            <w:noWrap/>
            <w:vAlign w:val="center"/>
            <w:hideMark/>
          </w:tcPr>
          <w:p w14:paraId="49C4CCAB" w14:textId="3D17BBB7" w:rsidR="00AB18A6" w:rsidRPr="00E50D18" w:rsidRDefault="00AB18A6" w:rsidP="00E50D18">
            <w:pPr>
              <w:spacing w:after="0" w:line="240" w:lineRule="auto"/>
              <w:jc w:val="right"/>
              <w:rPr>
                <w:rFonts w:ascii="Verdana" w:eastAsia="Times New Roman" w:hAnsi="Verdana" w:cs="Calibri"/>
                <w:color w:val="000000" w:themeColor="text1"/>
                <w:sz w:val="18"/>
                <w:szCs w:val="18"/>
                <w:lang w:val="fr-BE" w:eastAsia="en-GB"/>
              </w:rPr>
            </w:pPr>
            <w:r w:rsidRPr="00E50D18">
              <w:rPr>
                <w:rFonts w:ascii="Verdana" w:eastAsia="Times New Roman" w:hAnsi="Verdana" w:cs="Calibri"/>
                <w:color w:val="000000" w:themeColor="text1"/>
                <w:sz w:val="18"/>
                <w:szCs w:val="18"/>
                <w:lang w:val="fr-BE" w:eastAsia="en-GB"/>
              </w:rPr>
              <w:t>1</w:t>
            </w:r>
            <w:r w:rsidR="00950858">
              <w:rPr>
                <w:rFonts w:ascii="Verdana" w:eastAsia="Times New Roman" w:hAnsi="Verdana" w:cs="Calibri"/>
                <w:color w:val="000000" w:themeColor="text1"/>
                <w:sz w:val="18"/>
                <w:szCs w:val="18"/>
                <w:lang w:val="fr-BE" w:eastAsia="en-GB"/>
              </w:rPr>
              <w:t>2</w:t>
            </w:r>
          </w:p>
        </w:tc>
      </w:tr>
    </w:tbl>
    <w:p w14:paraId="16A83282" w14:textId="77777777" w:rsidR="00AB18A6" w:rsidRPr="00220722" w:rsidRDefault="00AB18A6" w:rsidP="00E50D18">
      <w:pPr>
        <w:spacing w:after="0" w:line="240" w:lineRule="auto"/>
        <w:rPr>
          <w:rFonts w:ascii="Verdana" w:hAnsi="Verdana"/>
          <w:sz w:val="18"/>
          <w:szCs w:val="18"/>
          <w:lang w:val="fr-BE"/>
        </w:rPr>
      </w:pPr>
    </w:p>
    <w:p w14:paraId="64D16498" w14:textId="77777777" w:rsidR="00833A9B" w:rsidRDefault="00833A9B">
      <w:pPr>
        <w:rPr>
          <w:rFonts w:ascii="Verdana" w:hAnsi="Verdana" w:cs="Verdana"/>
          <w:b/>
          <w:bCs/>
          <w:color w:val="5B9BD3"/>
          <w:szCs w:val="18"/>
          <w:lang w:val="fr-BE"/>
        </w:rPr>
      </w:pPr>
      <w:r>
        <w:rPr>
          <w:b/>
          <w:bCs/>
          <w:color w:val="5B9BD3"/>
          <w:szCs w:val="18"/>
          <w:lang w:val="fr-BE"/>
        </w:rPr>
        <w:br w:type="page"/>
      </w:r>
    </w:p>
    <w:p w14:paraId="20B49069" w14:textId="4DA4DF26" w:rsidR="00AB18A6" w:rsidRPr="008C436F" w:rsidRDefault="00AB18A6" w:rsidP="0026102F">
      <w:pPr>
        <w:pStyle w:val="Default"/>
        <w:numPr>
          <w:ilvl w:val="0"/>
          <w:numId w:val="7"/>
        </w:numPr>
        <w:ind w:left="426" w:hanging="437"/>
        <w:rPr>
          <w:b/>
          <w:bCs/>
          <w:color w:val="5B9BD3"/>
          <w:sz w:val="22"/>
          <w:szCs w:val="18"/>
          <w:lang w:val="fr-BE"/>
        </w:rPr>
      </w:pPr>
      <w:r w:rsidRPr="008C436F">
        <w:rPr>
          <w:b/>
          <w:bCs/>
          <w:color w:val="5B9BD3"/>
          <w:sz w:val="22"/>
          <w:szCs w:val="18"/>
          <w:lang w:val="fr-BE"/>
        </w:rPr>
        <w:lastRenderedPageBreak/>
        <w:t xml:space="preserve">Introduction </w:t>
      </w:r>
    </w:p>
    <w:p w14:paraId="18EE299A" w14:textId="41497AE8" w:rsidR="00AB18A6" w:rsidRPr="008C436F" w:rsidRDefault="00AB18A6" w:rsidP="005E33CF">
      <w:pPr>
        <w:pStyle w:val="Default"/>
        <w:rPr>
          <w:sz w:val="18"/>
          <w:szCs w:val="18"/>
          <w:lang w:val="fr-BE"/>
        </w:rPr>
      </w:pPr>
      <w:r w:rsidRPr="008C436F">
        <w:rPr>
          <w:sz w:val="18"/>
          <w:szCs w:val="18"/>
          <w:lang w:val="fr-BE"/>
        </w:rPr>
        <w:t>En Belgique, depuis 2001, les prescripteurs ont la possibilité légale de prescrire des médicaments en DCI. Les modalités pratiques de cette législation sont entrées en vigueur en 2005.</w:t>
      </w:r>
    </w:p>
    <w:p w14:paraId="03BEAAB4" w14:textId="3AFCEAE0" w:rsidR="00AB18A6" w:rsidRPr="008C436F" w:rsidRDefault="00AB18A6" w:rsidP="005E33CF">
      <w:pPr>
        <w:pStyle w:val="Default"/>
        <w:rPr>
          <w:sz w:val="18"/>
          <w:szCs w:val="18"/>
          <w:lang w:val="fr-BE"/>
        </w:rPr>
      </w:pPr>
    </w:p>
    <w:p w14:paraId="44A75FE1" w14:textId="77777777" w:rsidR="00AB18A6" w:rsidRPr="008C436F" w:rsidRDefault="00AB18A6" w:rsidP="005E33CF">
      <w:pPr>
        <w:pStyle w:val="Default"/>
        <w:rPr>
          <w:sz w:val="18"/>
          <w:szCs w:val="18"/>
          <w:lang w:val="fr-BE"/>
        </w:rPr>
      </w:pPr>
      <w:r w:rsidRPr="008C436F">
        <w:rPr>
          <w:sz w:val="18"/>
          <w:szCs w:val="18"/>
          <w:lang w:val="fr-BE"/>
        </w:rPr>
        <w:t xml:space="preserve">Grâce à cela, les médecins peuvent faire abstraction des nombreuses marques et tailles de conditionnement différentes des médicaments originaux et des génériques qui contiennent une même substance active. C’est également important dans le cadre de l’enseignement et de la formation continue en pharmacologie. </w:t>
      </w:r>
    </w:p>
    <w:p w14:paraId="6416262F" w14:textId="77777777" w:rsidR="00AB18A6" w:rsidRPr="008C436F" w:rsidRDefault="00AB18A6" w:rsidP="005E33CF">
      <w:pPr>
        <w:pStyle w:val="Default"/>
        <w:rPr>
          <w:sz w:val="18"/>
          <w:szCs w:val="18"/>
          <w:lang w:val="fr-BE"/>
        </w:rPr>
      </w:pPr>
    </w:p>
    <w:p w14:paraId="40C3C50C" w14:textId="77777777" w:rsidR="00AB18A6" w:rsidRPr="008C436F" w:rsidRDefault="00AB18A6" w:rsidP="005E33CF">
      <w:pPr>
        <w:pStyle w:val="Default"/>
        <w:rPr>
          <w:sz w:val="18"/>
          <w:szCs w:val="18"/>
          <w:lang w:val="fr-BE"/>
        </w:rPr>
      </w:pPr>
      <w:r w:rsidRPr="008C436F">
        <w:rPr>
          <w:sz w:val="18"/>
          <w:szCs w:val="18"/>
          <w:lang w:val="fr-BE"/>
        </w:rPr>
        <w:t xml:space="preserve">La prescription en DCI donne la possibilité au pharmacien de jouer un plus grand rôle en termes d’usage rationnel des médicaments, de comparaison des prix et de choix du conditionnement le plus approprié pour le patient. </w:t>
      </w:r>
    </w:p>
    <w:p w14:paraId="316B2D62" w14:textId="77777777" w:rsidR="00AB18A6" w:rsidRPr="008C436F" w:rsidRDefault="00AB18A6" w:rsidP="005E33CF">
      <w:pPr>
        <w:pStyle w:val="Default"/>
        <w:rPr>
          <w:sz w:val="18"/>
          <w:szCs w:val="18"/>
          <w:lang w:val="fr-BE"/>
        </w:rPr>
      </w:pPr>
    </w:p>
    <w:p w14:paraId="77B8E223" w14:textId="77777777" w:rsidR="00AB18A6" w:rsidRPr="008C436F" w:rsidRDefault="00AB18A6" w:rsidP="005E33CF">
      <w:pPr>
        <w:pStyle w:val="Default"/>
        <w:rPr>
          <w:sz w:val="18"/>
          <w:szCs w:val="18"/>
          <w:lang w:val="fr-BE"/>
        </w:rPr>
      </w:pPr>
      <w:r w:rsidRPr="008C436F">
        <w:rPr>
          <w:sz w:val="18"/>
          <w:szCs w:val="18"/>
          <w:lang w:val="fr-BE"/>
        </w:rPr>
        <w:t xml:space="preserve">Il n’est pas toujours facile de déterminer quels principes peuvent être appliqués pour définir, de manière cohérente, des ensembles univoques (groupes) de médicaments originaux et de génériques qui peuvent être regroupés sous la même prescription en DCI. C’est pourquoi, jusqu’à la publication de la première version de cette note, ce nouveau mode de prescription était très peu pris en compte dans les logiciels médicaux. De plus, il n’existait jusqu’alors aucune référence officielle que les professionnels de la santé pouvaient invoquer pour effectuer et exécuter une prescription en DCI. </w:t>
      </w:r>
    </w:p>
    <w:p w14:paraId="0AC85B3E" w14:textId="77777777" w:rsidR="00AB18A6" w:rsidRPr="008C436F" w:rsidRDefault="00AB18A6" w:rsidP="005E33CF">
      <w:pPr>
        <w:pStyle w:val="Default"/>
        <w:rPr>
          <w:sz w:val="18"/>
          <w:szCs w:val="18"/>
          <w:lang w:val="fr-BE"/>
        </w:rPr>
      </w:pPr>
    </w:p>
    <w:p w14:paraId="43611D2F" w14:textId="310ED8ED" w:rsidR="00AB18A6" w:rsidRPr="008C436F" w:rsidRDefault="00AB18A6" w:rsidP="005E33CF">
      <w:pPr>
        <w:pStyle w:val="Default"/>
        <w:rPr>
          <w:sz w:val="18"/>
          <w:szCs w:val="18"/>
          <w:lang w:val="fr-BE"/>
        </w:rPr>
      </w:pPr>
      <w:r w:rsidRPr="008C436F">
        <w:rPr>
          <w:sz w:val="18"/>
          <w:szCs w:val="18"/>
          <w:lang w:val="fr-BE"/>
        </w:rPr>
        <w:t xml:space="preserve">Afin de remédier à cela, plusieurs initiatives ont été prises. Tout d’abord en 2007 où, à la demande du SPF Santé publique (projet Be-Prescript-II), le </w:t>
      </w:r>
      <w:r w:rsidR="00A71391">
        <w:rPr>
          <w:sz w:val="18"/>
          <w:szCs w:val="18"/>
          <w:lang w:val="fr-BE"/>
        </w:rPr>
        <w:t>Centre belge d’information pharmacothérapeutique (</w:t>
      </w:r>
      <w:r w:rsidRPr="008C436F">
        <w:rPr>
          <w:sz w:val="18"/>
          <w:szCs w:val="18"/>
          <w:lang w:val="fr-BE"/>
        </w:rPr>
        <w:t>CBIP</w:t>
      </w:r>
      <w:r w:rsidR="00A71391">
        <w:rPr>
          <w:sz w:val="18"/>
          <w:szCs w:val="18"/>
          <w:lang w:val="fr-BE"/>
        </w:rPr>
        <w:t>)</w:t>
      </w:r>
      <w:r w:rsidRPr="008C436F">
        <w:rPr>
          <w:sz w:val="18"/>
          <w:szCs w:val="18"/>
          <w:lang w:val="fr-BE"/>
        </w:rPr>
        <w:t xml:space="preserve"> a réuni un groupe de travail composé d’experts issus des soins de santé afin d’étudier la législation, de répertorier les problèmes et de proposer des solutions techniques pour l’application pratique de la prescription en DCI. Cette démarche a débouché sur un rapport final qui a été déposé le 31 août 2007. </w:t>
      </w:r>
    </w:p>
    <w:p w14:paraId="7FA96EBC" w14:textId="77777777" w:rsidR="00AB18A6" w:rsidRPr="008C436F" w:rsidRDefault="00AB18A6" w:rsidP="005E33CF">
      <w:pPr>
        <w:pStyle w:val="Default"/>
        <w:rPr>
          <w:sz w:val="18"/>
          <w:szCs w:val="18"/>
          <w:lang w:val="fr-BE"/>
        </w:rPr>
      </w:pPr>
    </w:p>
    <w:p w14:paraId="220A1A42" w14:textId="28EFECBC" w:rsidR="00AB18A6" w:rsidRPr="008C436F" w:rsidRDefault="00AB18A6" w:rsidP="005E33CF">
      <w:pPr>
        <w:pStyle w:val="Default"/>
        <w:rPr>
          <w:sz w:val="18"/>
          <w:szCs w:val="18"/>
          <w:lang w:val="fr-BE"/>
        </w:rPr>
      </w:pPr>
      <w:r w:rsidRPr="008C436F">
        <w:rPr>
          <w:sz w:val="18"/>
          <w:szCs w:val="18"/>
          <w:lang w:val="fr-BE"/>
        </w:rPr>
        <w:t>En 2008, les recommandations de ce groupe d’experts ont été discutées plus en détail par le groupe de travail « Propositions concernant l’application pratique de la prescription en DCI », constitué au sein de l’AFMPS, en premier lieu par des experts de l’AFMPS et du CBIP et rejoints dans un deuxième temps par des membres de la Commission pour les médicaments à usage humain</w:t>
      </w:r>
      <w:r w:rsidR="007F5EFE">
        <w:rPr>
          <w:sz w:val="18"/>
          <w:szCs w:val="18"/>
          <w:lang w:val="fr-BE"/>
        </w:rPr>
        <w:t xml:space="preserve"> de l’AFMPS</w:t>
      </w:r>
      <w:r w:rsidRPr="008C436F">
        <w:rPr>
          <w:sz w:val="18"/>
          <w:szCs w:val="18"/>
          <w:lang w:val="fr-BE"/>
        </w:rPr>
        <w:t>. La note a été soumise à des experts des organismes assureurs et de l’</w:t>
      </w:r>
      <w:r w:rsidR="007F5EFE" w:rsidRPr="007F5EFE">
        <w:rPr>
          <w:sz w:val="18"/>
          <w:szCs w:val="18"/>
          <w:lang w:val="fr-BE"/>
        </w:rPr>
        <w:t xml:space="preserve"> Institut national d'assurance maladie-invalidité</w:t>
      </w:r>
      <w:r w:rsidR="007F5EFE" w:rsidRPr="008C436F">
        <w:rPr>
          <w:sz w:val="18"/>
          <w:szCs w:val="18"/>
          <w:lang w:val="fr-BE"/>
        </w:rPr>
        <w:t xml:space="preserve"> </w:t>
      </w:r>
      <w:r w:rsidR="007F5EFE">
        <w:rPr>
          <w:sz w:val="18"/>
          <w:szCs w:val="18"/>
          <w:lang w:val="fr-BE"/>
        </w:rPr>
        <w:t>(</w:t>
      </w:r>
      <w:r w:rsidRPr="008C436F">
        <w:rPr>
          <w:sz w:val="18"/>
          <w:szCs w:val="18"/>
          <w:lang w:val="fr-BE"/>
        </w:rPr>
        <w:t>INAMI</w:t>
      </w:r>
      <w:r w:rsidR="007F5EFE">
        <w:rPr>
          <w:sz w:val="18"/>
          <w:szCs w:val="18"/>
          <w:lang w:val="fr-BE"/>
        </w:rPr>
        <w:t>)</w:t>
      </w:r>
      <w:r w:rsidRPr="008C436F">
        <w:rPr>
          <w:sz w:val="18"/>
          <w:szCs w:val="18"/>
          <w:lang w:val="fr-BE"/>
        </w:rPr>
        <w:t xml:space="preserve">. La rédaction du CBIP a également examiné ce texte de près. </w:t>
      </w:r>
    </w:p>
    <w:p w14:paraId="789E2878" w14:textId="77777777" w:rsidR="00AB18A6" w:rsidRPr="008C436F" w:rsidRDefault="00AB18A6" w:rsidP="005E33CF">
      <w:pPr>
        <w:pStyle w:val="Default"/>
        <w:rPr>
          <w:sz w:val="18"/>
          <w:szCs w:val="18"/>
          <w:lang w:val="fr-BE"/>
        </w:rPr>
      </w:pPr>
    </w:p>
    <w:p w14:paraId="66838345" w14:textId="77777777" w:rsidR="00AB18A6" w:rsidRPr="008C436F" w:rsidRDefault="00AB18A6" w:rsidP="005E33CF">
      <w:pPr>
        <w:pStyle w:val="Default"/>
        <w:rPr>
          <w:sz w:val="18"/>
          <w:szCs w:val="18"/>
          <w:lang w:val="fr-BE"/>
        </w:rPr>
      </w:pPr>
      <w:r w:rsidRPr="008C436F">
        <w:rPr>
          <w:sz w:val="18"/>
          <w:szCs w:val="18"/>
          <w:lang w:val="fr-BE"/>
        </w:rPr>
        <w:t xml:space="preserve">La collaboration active entre l’AFMPS et le CBIP a conduit à la rédaction de la première version de la note en 2009. La note a été approuvée par la Commission des médicaments à usage humain de l’époque et est revue périodiquement depuis. Si nécessaire, les principes de classification et les recommandations proposées sont modifiés, en tenant compte de la commercialisation de nouveaux médicaments ou en fonction de l’évolution des connaissances en la matière. Chaque nouvelle version de la note est mentionnée dans le tableau de la première page et la date mentionnée dans la première colonne correspond à la date d’approbation par la Commission des médicaments. </w:t>
      </w:r>
    </w:p>
    <w:p w14:paraId="5E4FDBAF" w14:textId="77777777" w:rsidR="00AB18A6" w:rsidRPr="008C436F" w:rsidRDefault="00AB18A6" w:rsidP="005E33CF">
      <w:pPr>
        <w:pStyle w:val="Default"/>
        <w:rPr>
          <w:sz w:val="18"/>
          <w:szCs w:val="18"/>
          <w:lang w:val="fr-BE"/>
        </w:rPr>
      </w:pPr>
    </w:p>
    <w:p w14:paraId="38ABBED0" w14:textId="77777777" w:rsidR="00AB18A6" w:rsidRPr="008C436F" w:rsidRDefault="00AB18A6" w:rsidP="005E33CF">
      <w:pPr>
        <w:spacing w:after="0" w:line="240" w:lineRule="auto"/>
        <w:rPr>
          <w:rFonts w:ascii="Verdana" w:hAnsi="Verdana"/>
          <w:sz w:val="18"/>
          <w:szCs w:val="18"/>
          <w:lang w:val="fr-BE"/>
        </w:rPr>
      </w:pPr>
      <w:r w:rsidRPr="008C436F">
        <w:rPr>
          <w:rFonts w:ascii="Verdana" w:hAnsi="Verdana"/>
          <w:sz w:val="18"/>
          <w:szCs w:val="18"/>
          <w:lang w:val="fr-BE"/>
        </w:rPr>
        <w:t>Sur base de cette note, un processus de travail pratique a été mis en place pour établir des groupes DCI univoques, avec des spécifications correspondantes, à intégrer dans les logiciels médicaux et pharmaceutiques et in fine dans la source authentique des médicaments.</w:t>
      </w:r>
    </w:p>
    <w:p w14:paraId="2FC3FD2B" w14:textId="77777777" w:rsidR="00AB18A6" w:rsidRPr="008C436F" w:rsidRDefault="00AB18A6" w:rsidP="008C436F">
      <w:pPr>
        <w:spacing w:after="0" w:line="240" w:lineRule="auto"/>
        <w:rPr>
          <w:rFonts w:ascii="Verdana" w:hAnsi="Verdana"/>
          <w:sz w:val="18"/>
          <w:szCs w:val="18"/>
          <w:lang w:val="fr-BE"/>
        </w:rPr>
      </w:pPr>
    </w:p>
    <w:p w14:paraId="0CD418AA" w14:textId="77777777" w:rsidR="00AB18A6" w:rsidRPr="008C436F" w:rsidRDefault="00AB18A6" w:rsidP="008C436F">
      <w:pPr>
        <w:spacing w:after="0" w:line="240" w:lineRule="auto"/>
        <w:rPr>
          <w:rFonts w:ascii="Verdana" w:hAnsi="Verdana"/>
          <w:sz w:val="18"/>
          <w:szCs w:val="18"/>
          <w:lang w:val="fr-BE"/>
        </w:rPr>
      </w:pPr>
    </w:p>
    <w:p w14:paraId="58EAADEA" w14:textId="10E8E9BC" w:rsidR="00AB18A6" w:rsidRPr="008C436F" w:rsidRDefault="00AB18A6" w:rsidP="0026102F">
      <w:pPr>
        <w:pStyle w:val="Default"/>
        <w:ind w:left="426" w:hanging="426"/>
        <w:rPr>
          <w:b/>
          <w:bCs/>
          <w:color w:val="5B9BD3"/>
          <w:sz w:val="22"/>
          <w:szCs w:val="22"/>
          <w:lang w:val="fr-BE"/>
        </w:rPr>
      </w:pPr>
      <w:r w:rsidRPr="008C436F">
        <w:rPr>
          <w:b/>
          <w:bCs/>
          <w:color w:val="5B9BD3"/>
          <w:sz w:val="22"/>
          <w:szCs w:val="18"/>
          <w:lang w:val="fr-BE"/>
        </w:rPr>
        <w:t>2.</w:t>
      </w:r>
      <w:r w:rsidR="0026102F">
        <w:rPr>
          <w:b/>
          <w:bCs/>
          <w:color w:val="5B9BD3"/>
          <w:sz w:val="22"/>
          <w:szCs w:val="18"/>
          <w:lang w:val="fr-BE"/>
        </w:rPr>
        <w:tab/>
      </w:r>
      <w:r w:rsidRPr="008C436F">
        <w:rPr>
          <w:b/>
          <w:bCs/>
          <w:color w:val="5B9BD3"/>
          <w:sz w:val="22"/>
          <w:szCs w:val="18"/>
          <w:lang w:val="fr-BE"/>
        </w:rPr>
        <w:t xml:space="preserve">Définition d’un groupe DCI, </w:t>
      </w:r>
      <w:r w:rsidRPr="008C436F">
        <w:rPr>
          <w:rFonts w:eastAsia="Times New Roman" w:cs="Calibri"/>
          <w:b/>
          <w:color w:val="5B9BD3"/>
          <w:sz w:val="22"/>
          <w:szCs w:val="22"/>
          <w:lang w:val="fr-BE" w:eastAsia="en-GB"/>
        </w:rPr>
        <w:t>d’une prescription en DCI et des principes d’élaboration de ces groupes DCI</w:t>
      </w:r>
    </w:p>
    <w:p w14:paraId="3FB631B3" w14:textId="77777777" w:rsidR="00AB18A6" w:rsidRPr="008C436F" w:rsidRDefault="00AB18A6" w:rsidP="008C436F">
      <w:pPr>
        <w:pStyle w:val="Default"/>
        <w:rPr>
          <w:sz w:val="18"/>
          <w:szCs w:val="18"/>
          <w:lang w:val="fr-BE"/>
        </w:rPr>
      </w:pPr>
      <w:r w:rsidRPr="008C436F">
        <w:rPr>
          <w:sz w:val="18"/>
          <w:szCs w:val="18"/>
          <w:lang w:val="fr-BE"/>
        </w:rPr>
        <w:t xml:space="preserve">Un groupe DCI est un ensemble de conditionnements de médicaments disponibles sur le marché qui ont en commun une même substance active (ou une même combinaison de substances actives), un même dosage, une même voie d’administration et pour lequel on peut tenir compte de la forme pharmaceutique et éventuellement de spécifications supplémentaires en cas de pertinence clinique. Cet ensemble peut être appelé par une seule formulation d’une prescription en DCI. </w:t>
      </w:r>
    </w:p>
    <w:p w14:paraId="4B9D75BF" w14:textId="77777777" w:rsidR="00AB18A6" w:rsidRPr="008C436F" w:rsidRDefault="00AB18A6" w:rsidP="008C436F">
      <w:pPr>
        <w:pStyle w:val="Default"/>
        <w:rPr>
          <w:sz w:val="18"/>
          <w:szCs w:val="18"/>
          <w:lang w:val="fr-BE"/>
        </w:rPr>
      </w:pPr>
    </w:p>
    <w:p w14:paraId="72BAF26E" w14:textId="77777777" w:rsidR="00AB18A6" w:rsidRPr="008C436F" w:rsidRDefault="00AB18A6" w:rsidP="008C436F">
      <w:pPr>
        <w:pStyle w:val="Default"/>
        <w:rPr>
          <w:sz w:val="18"/>
          <w:szCs w:val="18"/>
          <w:lang w:val="fr-BE"/>
        </w:rPr>
      </w:pPr>
      <w:r w:rsidRPr="008C436F">
        <w:rPr>
          <w:sz w:val="18"/>
          <w:szCs w:val="18"/>
          <w:lang w:val="fr-BE"/>
        </w:rPr>
        <w:t xml:space="preserve">Une prescription en DCI est une prescription sur laquelle un groupe DCI prescriptible est identifié et prescrit, avec ou sans indication de limitations sous la forme de spécifications supplémentaires. Ainsi, le pharmacien sait de façon explicite à partir de quelle liste de médicaments appartenant au groupe il peut faire un choix. </w:t>
      </w:r>
    </w:p>
    <w:p w14:paraId="08F36232" w14:textId="77777777" w:rsidR="00AB18A6" w:rsidRPr="008C436F" w:rsidRDefault="00AB18A6" w:rsidP="008C436F">
      <w:pPr>
        <w:pStyle w:val="Default"/>
        <w:rPr>
          <w:sz w:val="18"/>
          <w:szCs w:val="18"/>
          <w:lang w:val="fr-BE"/>
        </w:rPr>
      </w:pPr>
    </w:p>
    <w:p w14:paraId="7E7D027D" w14:textId="77777777" w:rsidR="0026102F" w:rsidRDefault="0026102F">
      <w:pPr>
        <w:rPr>
          <w:rFonts w:ascii="Verdana" w:hAnsi="Verdana" w:cs="Verdana"/>
          <w:b/>
          <w:bCs/>
          <w:color w:val="000000"/>
          <w:sz w:val="18"/>
          <w:szCs w:val="18"/>
          <w:lang w:val="fr-BE"/>
        </w:rPr>
      </w:pPr>
      <w:r>
        <w:rPr>
          <w:b/>
          <w:bCs/>
          <w:sz w:val="18"/>
          <w:szCs w:val="18"/>
          <w:lang w:val="fr-BE"/>
        </w:rPr>
        <w:br w:type="page"/>
      </w:r>
    </w:p>
    <w:p w14:paraId="7C0AD1EE" w14:textId="3442B741" w:rsidR="00AB18A6" w:rsidRPr="008C436F" w:rsidRDefault="00AB18A6" w:rsidP="008C436F">
      <w:pPr>
        <w:pStyle w:val="Default"/>
        <w:rPr>
          <w:b/>
          <w:bCs/>
          <w:sz w:val="18"/>
          <w:szCs w:val="18"/>
          <w:lang w:val="fr-BE"/>
        </w:rPr>
      </w:pPr>
      <w:r w:rsidRPr="008C436F">
        <w:rPr>
          <w:b/>
          <w:bCs/>
          <w:sz w:val="18"/>
          <w:szCs w:val="18"/>
          <w:lang w:val="fr-BE"/>
        </w:rPr>
        <w:lastRenderedPageBreak/>
        <w:t xml:space="preserve">Principes proposés </w:t>
      </w:r>
    </w:p>
    <w:p w14:paraId="051D439C" w14:textId="77777777" w:rsidR="00AB18A6" w:rsidRPr="008C436F" w:rsidRDefault="00AB18A6" w:rsidP="00FE45A5">
      <w:pPr>
        <w:pStyle w:val="Default"/>
        <w:numPr>
          <w:ilvl w:val="0"/>
          <w:numId w:val="1"/>
        </w:numPr>
        <w:ind w:left="284" w:hanging="284"/>
        <w:rPr>
          <w:sz w:val="18"/>
          <w:szCs w:val="18"/>
          <w:lang w:val="fr-BE"/>
        </w:rPr>
      </w:pPr>
      <w:r w:rsidRPr="008C436F">
        <w:rPr>
          <w:sz w:val="18"/>
          <w:szCs w:val="18"/>
          <w:lang w:val="fr-BE"/>
        </w:rPr>
        <w:t xml:space="preserve">Un groupe DCI est défini par la combinaison de trois caractéristiques majeures : </w:t>
      </w:r>
    </w:p>
    <w:p w14:paraId="4EB76694" w14:textId="77777777" w:rsidR="00AB18A6" w:rsidRPr="008C436F" w:rsidRDefault="00AB18A6" w:rsidP="00FE45A5">
      <w:pPr>
        <w:pStyle w:val="Default"/>
        <w:numPr>
          <w:ilvl w:val="1"/>
          <w:numId w:val="1"/>
        </w:numPr>
        <w:ind w:left="567" w:hanging="283"/>
        <w:rPr>
          <w:sz w:val="18"/>
          <w:szCs w:val="18"/>
          <w:lang w:val="fr-BE"/>
        </w:rPr>
      </w:pPr>
      <w:r w:rsidRPr="008C436F">
        <w:rPr>
          <w:sz w:val="18"/>
          <w:szCs w:val="18"/>
          <w:lang w:val="fr-BE"/>
        </w:rPr>
        <w:t xml:space="preserve">la substance active (ou une combinaison de substances actives), </w:t>
      </w:r>
    </w:p>
    <w:p w14:paraId="6CE70A5D" w14:textId="77777777" w:rsidR="00AB18A6" w:rsidRPr="008C436F" w:rsidRDefault="00AB18A6" w:rsidP="00FE45A5">
      <w:pPr>
        <w:pStyle w:val="Default"/>
        <w:numPr>
          <w:ilvl w:val="1"/>
          <w:numId w:val="1"/>
        </w:numPr>
        <w:ind w:left="567" w:hanging="283"/>
        <w:rPr>
          <w:sz w:val="18"/>
          <w:szCs w:val="18"/>
          <w:lang w:val="fr-BE"/>
        </w:rPr>
      </w:pPr>
      <w:r w:rsidRPr="008C436F">
        <w:rPr>
          <w:sz w:val="18"/>
          <w:szCs w:val="18"/>
          <w:lang w:val="fr-BE"/>
        </w:rPr>
        <w:t xml:space="preserve">le dosage, </w:t>
      </w:r>
    </w:p>
    <w:p w14:paraId="76858060" w14:textId="77777777" w:rsidR="00AB18A6" w:rsidRPr="008C436F" w:rsidRDefault="00AB18A6" w:rsidP="00FE45A5">
      <w:pPr>
        <w:pStyle w:val="Default"/>
        <w:numPr>
          <w:ilvl w:val="1"/>
          <w:numId w:val="1"/>
        </w:numPr>
        <w:ind w:left="567" w:hanging="283"/>
        <w:rPr>
          <w:sz w:val="18"/>
          <w:szCs w:val="18"/>
          <w:lang w:val="fr-BE"/>
        </w:rPr>
      </w:pPr>
      <w:r w:rsidRPr="008C436F">
        <w:rPr>
          <w:sz w:val="18"/>
          <w:szCs w:val="18"/>
          <w:lang w:val="fr-BE"/>
        </w:rPr>
        <w:t xml:space="preserve">la voie d’administration, la forme pharmaceutique (parfois groupée) et parfois des spécifications supplémentaires telles que libération modifiée, sans conservateur et indication. </w:t>
      </w:r>
    </w:p>
    <w:p w14:paraId="0673AA65" w14:textId="77777777" w:rsidR="00FE45A5" w:rsidRDefault="00AB18A6" w:rsidP="003F6B5F">
      <w:pPr>
        <w:pStyle w:val="Default"/>
        <w:numPr>
          <w:ilvl w:val="0"/>
          <w:numId w:val="1"/>
        </w:numPr>
        <w:ind w:left="284" w:hanging="284"/>
        <w:rPr>
          <w:sz w:val="18"/>
          <w:szCs w:val="18"/>
          <w:lang w:val="fr-BE"/>
        </w:rPr>
      </w:pPr>
      <w:r w:rsidRPr="00FE45A5">
        <w:rPr>
          <w:sz w:val="18"/>
          <w:szCs w:val="18"/>
          <w:lang w:val="fr-BE"/>
        </w:rPr>
        <w:t>Chaque groupe DCI est identifié par un numéro d’identification unique.</w:t>
      </w:r>
    </w:p>
    <w:p w14:paraId="47805180" w14:textId="62858CF0" w:rsidR="00FE45A5" w:rsidRDefault="00AB18A6" w:rsidP="003F6B5F">
      <w:pPr>
        <w:pStyle w:val="Default"/>
        <w:numPr>
          <w:ilvl w:val="0"/>
          <w:numId w:val="1"/>
        </w:numPr>
        <w:ind w:left="284" w:hanging="284"/>
        <w:rPr>
          <w:sz w:val="18"/>
          <w:szCs w:val="18"/>
          <w:lang w:val="fr-BE"/>
        </w:rPr>
      </w:pPr>
      <w:r w:rsidRPr="00FE45A5">
        <w:rPr>
          <w:sz w:val="18"/>
          <w:szCs w:val="18"/>
          <w:lang w:val="fr-BE"/>
        </w:rPr>
        <w:t>Dans certains groupes DCI, certaines spécifications, laissées au libre choix du prescripteur, peuvent être importantes (par exemple sécable, soluble ...).</w:t>
      </w:r>
    </w:p>
    <w:p w14:paraId="30AC78D1" w14:textId="77777777" w:rsidR="00FE45A5" w:rsidRDefault="00AB18A6" w:rsidP="003F6B5F">
      <w:pPr>
        <w:pStyle w:val="Default"/>
        <w:numPr>
          <w:ilvl w:val="0"/>
          <w:numId w:val="1"/>
        </w:numPr>
        <w:ind w:left="284" w:hanging="284"/>
        <w:rPr>
          <w:sz w:val="18"/>
          <w:szCs w:val="18"/>
          <w:lang w:val="fr-BE"/>
        </w:rPr>
      </w:pPr>
      <w:r w:rsidRPr="00FE45A5">
        <w:rPr>
          <w:sz w:val="18"/>
          <w:szCs w:val="18"/>
          <w:lang w:val="fr-BE"/>
        </w:rPr>
        <w:t>Pour certains groupes de médicaments, il est conseillé de maintenir le choix initial d’une spécialité pharmaceutique pour la suite du traitement et d’éviter la réorientation, c</w:t>
      </w:r>
      <w:r w:rsidR="00FE45A5">
        <w:rPr>
          <w:sz w:val="18"/>
          <w:szCs w:val="18"/>
          <w:lang w:val="fr-BE"/>
        </w:rPr>
        <w:t>’est</w:t>
      </w:r>
      <w:r w:rsidRPr="00FE45A5">
        <w:rPr>
          <w:sz w:val="18"/>
          <w:szCs w:val="18"/>
          <w:lang w:val="fr-BE"/>
        </w:rPr>
        <w:t>-à-d</w:t>
      </w:r>
      <w:r w:rsidR="00FE45A5">
        <w:rPr>
          <w:sz w:val="18"/>
          <w:szCs w:val="18"/>
          <w:lang w:val="fr-BE"/>
        </w:rPr>
        <w:t>ire</w:t>
      </w:r>
      <w:r w:rsidRPr="00FE45A5">
        <w:rPr>
          <w:sz w:val="18"/>
          <w:szCs w:val="18"/>
          <w:lang w:val="fr-BE"/>
        </w:rPr>
        <w:t xml:space="preserve"> le passage à un autre médicament (cette recommandation est indiquée par la mention NO SWITCH). Si une réorientation a quand même lieu, elle doit être réalisée avec prudence et en concertation avec le prescripteur.</w:t>
      </w:r>
    </w:p>
    <w:p w14:paraId="20E3374F" w14:textId="77777777" w:rsidR="00AB18A6" w:rsidRPr="008C436F" w:rsidRDefault="00AB18A6" w:rsidP="00FE45A5">
      <w:pPr>
        <w:pStyle w:val="Default"/>
        <w:numPr>
          <w:ilvl w:val="0"/>
          <w:numId w:val="1"/>
        </w:numPr>
        <w:ind w:left="284" w:hanging="284"/>
        <w:rPr>
          <w:sz w:val="18"/>
          <w:szCs w:val="18"/>
          <w:lang w:val="fr-BE"/>
        </w:rPr>
      </w:pPr>
      <w:r w:rsidRPr="008C436F">
        <w:rPr>
          <w:sz w:val="18"/>
          <w:szCs w:val="18"/>
          <w:lang w:val="fr-BE"/>
        </w:rPr>
        <w:t>Il est proposé de ne pas reprendre certains groupes de médicaments dans le système de prescription en DCI (indiqué par la mention NO DCI dans le présent document et dans la liste des médicaments classés par groupe DCI).</w:t>
      </w:r>
    </w:p>
    <w:p w14:paraId="47CD9D4D" w14:textId="7D02EC51" w:rsidR="00AB18A6" w:rsidRDefault="00AB18A6" w:rsidP="00623E35">
      <w:pPr>
        <w:pStyle w:val="Default"/>
        <w:rPr>
          <w:sz w:val="18"/>
          <w:szCs w:val="18"/>
          <w:lang w:val="fr-BE"/>
        </w:rPr>
      </w:pPr>
    </w:p>
    <w:p w14:paraId="36187761" w14:textId="1278AFCE" w:rsidR="00AB18A6" w:rsidRPr="008C436F" w:rsidRDefault="00AB18A6" w:rsidP="00623E35">
      <w:pPr>
        <w:pStyle w:val="Default"/>
        <w:rPr>
          <w:sz w:val="18"/>
          <w:szCs w:val="18"/>
          <w:lang w:val="fr-BE"/>
        </w:rPr>
      </w:pPr>
    </w:p>
    <w:p w14:paraId="63A886FF" w14:textId="23752231" w:rsidR="00AB18A6" w:rsidRPr="008C436F" w:rsidRDefault="001822D0" w:rsidP="001822D0">
      <w:pPr>
        <w:pStyle w:val="Default"/>
        <w:ind w:left="426" w:hanging="426"/>
        <w:rPr>
          <w:b/>
          <w:bCs/>
          <w:color w:val="5B9BD3"/>
          <w:sz w:val="22"/>
          <w:szCs w:val="18"/>
          <w:lang w:val="fr-BE"/>
        </w:rPr>
      </w:pPr>
      <w:r>
        <w:rPr>
          <w:b/>
          <w:bCs/>
          <w:color w:val="5B9BD3"/>
          <w:sz w:val="22"/>
          <w:szCs w:val="18"/>
          <w:lang w:val="fr-BE"/>
        </w:rPr>
        <w:t>3.</w:t>
      </w:r>
      <w:r>
        <w:rPr>
          <w:b/>
          <w:bCs/>
          <w:color w:val="5B9BD3"/>
          <w:sz w:val="22"/>
          <w:szCs w:val="18"/>
          <w:lang w:val="fr-BE"/>
        </w:rPr>
        <w:tab/>
      </w:r>
      <w:r w:rsidR="00AB18A6" w:rsidRPr="008C436F">
        <w:rPr>
          <w:b/>
          <w:bCs/>
          <w:color w:val="5B9BD3"/>
          <w:sz w:val="22"/>
          <w:szCs w:val="18"/>
          <w:lang w:val="fr-BE"/>
        </w:rPr>
        <w:t xml:space="preserve">Explication des caractéristiques majeures d’un groupe DCI </w:t>
      </w:r>
    </w:p>
    <w:p w14:paraId="3A220841" w14:textId="4103964A" w:rsidR="00AB18A6" w:rsidRPr="008C436F" w:rsidRDefault="00AB18A6" w:rsidP="00F712F3">
      <w:pPr>
        <w:pStyle w:val="Default"/>
        <w:ind w:left="567" w:hanging="567"/>
        <w:rPr>
          <w:b/>
          <w:bCs/>
          <w:sz w:val="18"/>
          <w:szCs w:val="18"/>
          <w:lang w:val="fr-BE"/>
        </w:rPr>
      </w:pPr>
      <w:r w:rsidRPr="008C436F">
        <w:rPr>
          <w:b/>
          <w:bCs/>
          <w:sz w:val="18"/>
          <w:szCs w:val="18"/>
          <w:lang w:val="fr-BE"/>
        </w:rPr>
        <w:t>3.1</w:t>
      </w:r>
      <w:r w:rsidR="00F712F3">
        <w:rPr>
          <w:b/>
          <w:bCs/>
          <w:sz w:val="18"/>
          <w:szCs w:val="18"/>
          <w:lang w:val="fr-BE"/>
        </w:rPr>
        <w:tab/>
      </w:r>
      <w:r w:rsidRPr="008C436F">
        <w:rPr>
          <w:b/>
          <w:bCs/>
          <w:sz w:val="18"/>
          <w:szCs w:val="18"/>
          <w:lang w:val="fr-BE"/>
        </w:rPr>
        <w:t xml:space="preserve">Substance active </w:t>
      </w:r>
    </w:p>
    <w:p w14:paraId="07944B61" w14:textId="77777777" w:rsidR="00AB18A6" w:rsidRPr="008C436F" w:rsidRDefault="00AB18A6" w:rsidP="008C436F">
      <w:pPr>
        <w:pStyle w:val="Default"/>
        <w:rPr>
          <w:sz w:val="18"/>
          <w:szCs w:val="18"/>
          <w:lang w:val="fr-BE"/>
        </w:rPr>
      </w:pPr>
      <w:r w:rsidRPr="008C436F">
        <w:rPr>
          <w:sz w:val="18"/>
          <w:szCs w:val="18"/>
          <w:lang w:val="fr-BE"/>
        </w:rPr>
        <w:t xml:space="preserve">Comme première caractéristique majeure, on utilise l’identité de la ou des </w:t>
      </w:r>
      <w:r w:rsidRPr="008C436F">
        <w:rPr>
          <w:b/>
          <w:bCs/>
          <w:sz w:val="18"/>
          <w:szCs w:val="18"/>
          <w:lang w:val="fr-BE"/>
        </w:rPr>
        <w:t>substance(s) active(s)</w:t>
      </w:r>
      <w:r w:rsidRPr="008C436F">
        <w:rPr>
          <w:sz w:val="18"/>
          <w:szCs w:val="18"/>
          <w:lang w:val="fr-BE"/>
        </w:rPr>
        <w:t xml:space="preserve">. Pour la substance active, on utilise en principe la dénomination de l’International Non Proprietary Name (INN), ce qui correspond à DCI. Pour les groupes DCI reprenant plus de trois substances actives, on utilise la dénomination de la première spécialité originale utilisée, précédée de « groupe ». </w:t>
      </w:r>
    </w:p>
    <w:p w14:paraId="5F1C7E56" w14:textId="77777777" w:rsidR="00AB18A6" w:rsidRPr="008C436F" w:rsidRDefault="00AB18A6" w:rsidP="008C436F">
      <w:pPr>
        <w:pStyle w:val="Default"/>
        <w:rPr>
          <w:sz w:val="18"/>
          <w:szCs w:val="18"/>
          <w:lang w:val="fr-BE"/>
        </w:rPr>
      </w:pPr>
    </w:p>
    <w:p w14:paraId="632788A0" w14:textId="77777777" w:rsidR="00AB18A6" w:rsidRPr="008C436F" w:rsidRDefault="00AB18A6" w:rsidP="008C436F">
      <w:pPr>
        <w:pStyle w:val="Default"/>
        <w:rPr>
          <w:sz w:val="18"/>
          <w:szCs w:val="18"/>
          <w:lang w:val="fr-BE"/>
        </w:rPr>
      </w:pPr>
      <w:r w:rsidRPr="008C436F">
        <w:rPr>
          <w:sz w:val="18"/>
          <w:szCs w:val="18"/>
          <w:lang w:val="fr-BE"/>
        </w:rPr>
        <w:t xml:space="preserve">La nomenclature est en principe limitée au nom de la molécule souche (donc en ne mentionnant pas le sel ou l’ester), sauf lorsque l’utilisation ou l’action est différente en fonction du sel ou de l’ester utilisé. </w:t>
      </w:r>
    </w:p>
    <w:p w14:paraId="7EB144BA" w14:textId="77777777" w:rsidR="00AB18A6" w:rsidRPr="008C436F" w:rsidRDefault="00AB18A6" w:rsidP="008C436F">
      <w:pPr>
        <w:pStyle w:val="Default"/>
        <w:rPr>
          <w:sz w:val="18"/>
          <w:szCs w:val="18"/>
          <w:lang w:val="fr-BE"/>
        </w:rPr>
      </w:pPr>
    </w:p>
    <w:p w14:paraId="71A69545" w14:textId="4C65EF9E" w:rsidR="00AB18A6" w:rsidRPr="008C436F" w:rsidRDefault="00AB18A6" w:rsidP="008C436F">
      <w:pPr>
        <w:pStyle w:val="Default"/>
        <w:rPr>
          <w:b/>
          <w:bCs/>
          <w:sz w:val="18"/>
          <w:szCs w:val="18"/>
          <w:lang w:val="fr-BE"/>
        </w:rPr>
      </w:pPr>
      <w:r w:rsidRPr="008C436F">
        <w:rPr>
          <w:b/>
          <w:bCs/>
          <w:sz w:val="18"/>
          <w:szCs w:val="18"/>
          <w:lang w:val="fr-BE"/>
        </w:rPr>
        <w:t>3.2</w:t>
      </w:r>
      <w:r w:rsidR="00EF3E9A">
        <w:rPr>
          <w:b/>
          <w:bCs/>
          <w:sz w:val="18"/>
          <w:szCs w:val="18"/>
          <w:lang w:val="fr-BE"/>
        </w:rPr>
        <w:tab/>
      </w:r>
      <w:r w:rsidRPr="008C436F">
        <w:rPr>
          <w:b/>
          <w:bCs/>
          <w:sz w:val="18"/>
          <w:szCs w:val="18"/>
          <w:lang w:val="fr-BE"/>
        </w:rPr>
        <w:t>Dosage</w:t>
      </w:r>
    </w:p>
    <w:p w14:paraId="48F4E718" w14:textId="5CABB73A" w:rsidR="00AB18A6" w:rsidRDefault="00AB18A6" w:rsidP="008C436F">
      <w:pPr>
        <w:spacing w:after="0" w:line="240" w:lineRule="auto"/>
        <w:ind w:right="142"/>
        <w:rPr>
          <w:rFonts w:ascii="Verdana" w:hAnsi="Verdana"/>
          <w:sz w:val="18"/>
          <w:szCs w:val="18"/>
          <w:lang w:val="fr-BE"/>
        </w:rPr>
      </w:pPr>
      <w:r w:rsidRPr="008C436F">
        <w:rPr>
          <w:rFonts w:ascii="Verdana" w:hAnsi="Verdana"/>
          <w:sz w:val="18"/>
          <w:szCs w:val="18"/>
          <w:lang w:val="fr-BE"/>
        </w:rPr>
        <w:t xml:space="preserve">La deuxième caractéristique majeure est le </w:t>
      </w:r>
      <w:r w:rsidRPr="008C436F">
        <w:rPr>
          <w:rFonts w:ascii="Verdana" w:hAnsi="Verdana"/>
          <w:b/>
          <w:bCs/>
          <w:sz w:val="18"/>
          <w:szCs w:val="18"/>
          <w:lang w:val="fr-BE"/>
        </w:rPr>
        <w:t>dosage de la substance active</w:t>
      </w:r>
      <w:r w:rsidRPr="008C436F">
        <w:rPr>
          <w:rFonts w:ascii="Verdana" w:hAnsi="Verdana"/>
          <w:sz w:val="18"/>
          <w:szCs w:val="18"/>
          <w:lang w:val="fr-BE"/>
        </w:rPr>
        <w:t>. Pour le dosage, on part en principe du dosage tel qu’indiqué dans l’autorisation de mise sur le marché du médicament. En ce qui concerne le dosage de la substance active de médicaments qui contiennent un sel ou un ester, on tient compte dans certains cas du poids du sel ou de l’ester dans l’expression du dosage</w:t>
      </w:r>
      <w:r w:rsidR="00DC270A">
        <w:rPr>
          <w:rFonts w:ascii="Verdana" w:hAnsi="Verdana"/>
          <w:sz w:val="18"/>
          <w:szCs w:val="18"/>
          <w:lang w:val="fr-BE"/>
        </w:rPr>
        <w:t>.</w:t>
      </w:r>
    </w:p>
    <w:p w14:paraId="42A12049" w14:textId="77777777" w:rsidR="00DC270A" w:rsidRPr="008C436F" w:rsidRDefault="00DC270A" w:rsidP="008C436F">
      <w:pPr>
        <w:spacing w:after="0" w:line="240" w:lineRule="auto"/>
        <w:ind w:right="142"/>
        <w:rPr>
          <w:rFonts w:ascii="Verdana" w:hAnsi="Verdana"/>
          <w:sz w:val="18"/>
          <w:szCs w:val="18"/>
          <w:lang w:val="fr-BE"/>
        </w:rPr>
      </w:pPr>
    </w:p>
    <w:p w14:paraId="76525C48" w14:textId="64BF2C29" w:rsidR="00AB18A6" w:rsidRPr="008C436F" w:rsidRDefault="00AB18A6" w:rsidP="008C436F">
      <w:pPr>
        <w:pStyle w:val="Default"/>
        <w:ind w:right="142"/>
        <w:rPr>
          <w:sz w:val="18"/>
          <w:szCs w:val="18"/>
          <w:lang w:val="fr-BE"/>
        </w:rPr>
      </w:pPr>
      <w:r w:rsidRPr="008C436F">
        <w:rPr>
          <w:sz w:val="18"/>
          <w:szCs w:val="18"/>
          <w:lang w:val="fr-BE"/>
        </w:rPr>
        <w:t xml:space="preserve">On vise également une standardisation de l’expression du dosage par unité en fonction de la forme pharmaceutique. </w:t>
      </w:r>
    </w:p>
    <w:p w14:paraId="50AB2AD2" w14:textId="77777777" w:rsidR="00AB18A6" w:rsidRPr="008C436F" w:rsidRDefault="00AB18A6" w:rsidP="008C436F">
      <w:pPr>
        <w:pStyle w:val="Default"/>
        <w:rPr>
          <w:sz w:val="18"/>
          <w:szCs w:val="18"/>
          <w:lang w:val="fr-BE"/>
        </w:rPr>
      </w:pPr>
    </w:p>
    <w:p w14:paraId="51968D16" w14:textId="1E47CF55" w:rsidR="00AB18A6" w:rsidRPr="008C436F" w:rsidRDefault="00AB18A6" w:rsidP="00DC270A">
      <w:pPr>
        <w:pStyle w:val="Default"/>
        <w:ind w:left="426" w:hanging="426"/>
        <w:rPr>
          <w:b/>
          <w:bCs/>
          <w:sz w:val="18"/>
          <w:szCs w:val="18"/>
          <w:lang w:val="fr-BE"/>
        </w:rPr>
      </w:pPr>
      <w:r w:rsidRPr="008C436F">
        <w:rPr>
          <w:b/>
          <w:bCs/>
          <w:sz w:val="18"/>
          <w:szCs w:val="18"/>
          <w:lang w:val="fr-BE"/>
        </w:rPr>
        <w:t>3.3</w:t>
      </w:r>
      <w:r w:rsidR="00DC270A">
        <w:rPr>
          <w:b/>
          <w:bCs/>
          <w:sz w:val="18"/>
          <w:szCs w:val="18"/>
          <w:lang w:val="fr-BE"/>
        </w:rPr>
        <w:tab/>
      </w:r>
      <w:r w:rsidRPr="008C436F">
        <w:rPr>
          <w:b/>
          <w:bCs/>
          <w:sz w:val="18"/>
          <w:szCs w:val="18"/>
          <w:lang w:val="fr-BE"/>
        </w:rPr>
        <w:t xml:space="preserve">Voie d’administration, parfois combinée à d’autres caractéristiques spécifiques </w:t>
      </w:r>
    </w:p>
    <w:p w14:paraId="5C47543E" w14:textId="77777777" w:rsidR="008A186A" w:rsidRDefault="00AB18A6" w:rsidP="008C436F">
      <w:pPr>
        <w:pStyle w:val="Default"/>
        <w:rPr>
          <w:bCs/>
          <w:sz w:val="18"/>
          <w:szCs w:val="18"/>
          <w:lang w:val="fr-BE"/>
        </w:rPr>
      </w:pPr>
      <w:r w:rsidRPr="008C436F">
        <w:rPr>
          <w:sz w:val="18"/>
          <w:szCs w:val="18"/>
          <w:lang w:val="fr-BE"/>
        </w:rPr>
        <w:t xml:space="preserve">Une troisième caractéristique majeure est la </w:t>
      </w:r>
      <w:r w:rsidRPr="008C436F">
        <w:rPr>
          <w:b/>
          <w:bCs/>
          <w:sz w:val="18"/>
          <w:szCs w:val="18"/>
          <w:lang w:val="fr-BE"/>
        </w:rPr>
        <w:t xml:space="preserve">voie d’administration, </w:t>
      </w:r>
      <w:r w:rsidRPr="008C436F">
        <w:rPr>
          <w:bCs/>
          <w:sz w:val="18"/>
          <w:szCs w:val="18"/>
          <w:lang w:val="fr-BE"/>
        </w:rPr>
        <w:t>parfois combinée à d’autres caractéristiques spécifiques.</w:t>
      </w:r>
    </w:p>
    <w:p w14:paraId="074E8942" w14:textId="77777777" w:rsidR="008A186A" w:rsidRDefault="008A186A" w:rsidP="008C436F">
      <w:pPr>
        <w:pStyle w:val="Default"/>
        <w:rPr>
          <w:bCs/>
          <w:sz w:val="18"/>
          <w:szCs w:val="18"/>
          <w:lang w:val="fr-BE"/>
        </w:rPr>
      </w:pPr>
    </w:p>
    <w:p w14:paraId="0F6D6FF5" w14:textId="6AF465AB" w:rsidR="00AB18A6" w:rsidRPr="008C436F" w:rsidRDefault="00AB18A6" w:rsidP="008C436F">
      <w:pPr>
        <w:pStyle w:val="Default"/>
        <w:rPr>
          <w:sz w:val="18"/>
          <w:szCs w:val="18"/>
          <w:lang w:val="fr-BE"/>
        </w:rPr>
      </w:pPr>
      <w:r w:rsidRPr="008C436F">
        <w:rPr>
          <w:sz w:val="18"/>
          <w:szCs w:val="18"/>
          <w:lang w:val="fr-BE"/>
        </w:rPr>
        <w:t>Cette caractéristique est nécessaire pour éviter que des médicaments ayant des applications cliniques différentes soient repris dans un même groupe. Le principal aspect de cette caractéristique est la voie d’administration. La forme pharmaceutique est également prise en compte. Certaines formes sont ainsi rassemblées dans un seul groupe (par ex</w:t>
      </w:r>
      <w:r w:rsidR="00DC270A">
        <w:rPr>
          <w:sz w:val="18"/>
          <w:szCs w:val="18"/>
          <w:lang w:val="fr-BE"/>
        </w:rPr>
        <w:t>emple</w:t>
      </w:r>
      <w:r w:rsidRPr="008C436F">
        <w:rPr>
          <w:sz w:val="18"/>
          <w:szCs w:val="18"/>
          <w:lang w:val="fr-BE"/>
        </w:rPr>
        <w:t xml:space="preserve"> gélule et comprimé). Dans des cas exceptionnels, il est encore tenu compte de caractéristiques spécifiques supplémentaires telles que l’indication, l’absence de conservateurs (par ex</w:t>
      </w:r>
      <w:r w:rsidR="00DC270A">
        <w:rPr>
          <w:sz w:val="18"/>
          <w:szCs w:val="18"/>
          <w:lang w:val="fr-BE"/>
        </w:rPr>
        <w:t>emple</w:t>
      </w:r>
      <w:r w:rsidRPr="008C436F">
        <w:rPr>
          <w:sz w:val="18"/>
          <w:szCs w:val="18"/>
          <w:lang w:val="fr-BE"/>
        </w:rPr>
        <w:t xml:space="preserve"> pour les gouttes pour les yeux), l’action prolongée. Pour les médicaments oraux à action prolongée, il sera indiqué le cas échéant s’il s’agit d’une forme destinée à un ou plusieurs moments d’administration par 24 heures (1 admin</w:t>
      </w:r>
      <w:r w:rsidR="00DC270A">
        <w:rPr>
          <w:sz w:val="18"/>
          <w:szCs w:val="18"/>
          <w:lang w:val="fr-BE"/>
        </w:rPr>
        <w:t>istration</w:t>
      </w:r>
      <w:r w:rsidRPr="008C436F">
        <w:rPr>
          <w:sz w:val="18"/>
          <w:szCs w:val="18"/>
          <w:lang w:val="fr-BE"/>
        </w:rPr>
        <w:t>/j</w:t>
      </w:r>
      <w:r w:rsidR="00DC270A">
        <w:rPr>
          <w:sz w:val="18"/>
          <w:szCs w:val="18"/>
          <w:lang w:val="fr-BE"/>
        </w:rPr>
        <w:t>our</w:t>
      </w:r>
      <w:r w:rsidRPr="008C436F">
        <w:rPr>
          <w:sz w:val="18"/>
          <w:szCs w:val="18"/>
          <w:lang w:val="fr-BE"/>
        </w:rPr>
        <w:t>, 2 admin</w:t>
      </w:r>
      <w:r w:rsidR="00DC270A">
        <w:rPr>
          <w:sz w:val="18"/>
          <w:szCs w:val="18"/>
          <w:lang w:val="fr-BE"/>
        </w:rPr>
        <w:t>istrations</w:t>
      </w:r>
      <w:r w:rsidRPr="008C436F">
        <w:rPr>
          <w:sz w:val="18"/>
          <w:szCs w:val="18"/>
          <w:lang w:val="fr-BE"/>
        </w:rPr>
        <w:t>/j</w:t>
      </w:r>
      <w:r w:rsidR="00DC270A">
        <w:rPr>
          <w:sz w:val="18"/>
          <w:szCs w:val="18"/>
          <w:lang w:val="fr-BE"/>
        </w:rPr>
        <w:t>our</w:t>
      </w:r>
      <w:r w:rsidRPr="008C436F">
        <w:rPr>
          <w:sz w:val="18"/>
          <w:szCs w:val="18"/>
          <w:lang w:val="fr-BE"/>
        </w:rPr>
        <w:t xml:space="preserve">). </w:t>
      </w:r>
    </w:p>
    <w:p w14:paraId="746CC26C" w14:textId="476C208E" w:rsidR="00AB18A6" w:rsidRDefault="00AB18A6" w:rsidP="008C436F">
      <w:pPr>
        <w:pStyle w:val="Default"/>
        <w:rPr>
          <w:sz w:val="18"/>
          <w:szCs w:val="18"/>
          <w:lang w:val="fr-BE"/>
        </w:rPr>
      </w:pPr>
    </w:p>
    <w:p w14:paraId="1A29C71F" w14:textId="77777777" w:rsidR="00DC270A" w:rsidRPr="008C436F" w:rsidRDefault="00DC270A" w:rsidP="008C436F">
      <w:pPr>
        <w:pStyle w:val="Default"/>
        <w:rPr>
          <w:sz w:val="18"/>
          <w:szCs w:val="18"/>
          <w:lang w:val="fr-BE"/>
        </w:rPr>
      </w:pPr>
    </w:p>
    <w:p w14:paraId="0B6BA0D3" w14:textId="62A55425" w:rsidR="00AB18A6" w:rsidRPr="008C436F" w:rsidRDefault="00AB18A6" w:rsidP="00DC270A">
      <w:pPr>
        <w:pStyle w:val="Default"/>
        <w:ind w:left="426" w:hanging="426"/>
        <w:rPr>
          <w:b/>
          <w:bCs/>
          <w:color w:val="5B9BD3"/>
          <w:sz w:val="22"/>
          <w:szCs w:val="18"/>
          <w:lang w:val="fr-BE"/>
        </w:rPr>
      </w:pPr>
      <w:r w:rsidRPr="008C436F">
        <w:rPr>
          <w:b/>
          <w:bCs/>
          <w:color w:val="5B9BD3"/>
          <w:sz w:val="22"/>
          <w:szCs w:val="18"/>
          <w:lang w:val="fr-BE"/>
        </w:rPr>
        <w:t>4.</w:t>
      </w:r>
      <w:r w:rsidR="00DC270A">
        <w:rPr>
          <w:b/>
          <w:bCs/>
          <w:color w:val="5B9BD3"/>
          <w:sz w:val="22"/>
          <w:szCs w:val="18"/>
          <w:lang w:val="fr-BE"/>
        </w:rPr>
        <w:tab/>
      </w:r>
      <w:r w:rsidRPr="008C436F">
        <w:rPr>
          <w:b/>
          <w:bCs/>
          <w:color w:val="5B9BD3"/>
          <w:sz w:val="22"/>
          <w:szCs w:val="18"/>
          <w:lang w:val="fr-BE"/>
        </w:rPr>
        <w:t xml:space="preserve">Spécifications supplémentaires </w:t>
      </w:r>
    </w:p>
    <w:p w14:paraId="5A62B462" w14:textId="5B4B9213" w:rsidR="00AB18A6" w:rsidRDefault="00AB18A6" w:rsidP="008C436F">
      <w:pPr>
        <w:pStyle w:val="Default"/>
        <w:rPr>
          <w:sz w:val="18"/>
          <w:szCs w:val="18"/>
          <w:lang w:val="fr-BE"/>
        </w:rPr>
      </w:pPr>
      <w:r w:rsidRPr="008C436F">
        <w:rPr>
          <w:sz w:val="18"/>
          <w:szCs w:val="18"/>
          <w:lang w:val="fr-BE"/>
        </w:rPr>
        <w:t xml:space="preserve">Pour chaque médicament original ou générique, il est établi de manière standardisée si une ou plusieurs spécifications supplémentaires sont d’application. Il est indiqué pour chaque groupe quelles spécifications supplémentaires sont pertinentes pour ce groupe et peuvent être indiquées par le prescripteur. En effet, cette nouvelle approche ne comporte plus de spécifications obligatoires. Les spécifications suivantes sont possibles : </w:t>
      </w:r>
    </w:p>
    <w:p w14:paraId="7D2FB851" w14:textId="77777777" w:rsidR="001620D3" w:rsidRPr="008C436F" w:rsidRDefault="001620D3" w:rsidP="008C436F">
      <w:pPr>
        <w:pStyle w:val="Default"/>
        <w:rPr>
          <w:sz w:val="18"/>
          <w:szCs w:val="18"/>
          <w:lang w:val="fr-BE"/>
        </w:rPr>
      </w:pPr>
    </w:p>
    <w:p w14:paraId="17AF0379" w14:textId="77777777" w:rsidR="00AB18A6" w:rsidRPr="008C436F" w:rsidRDefault="00AB18A6" w:rsidP="008C436F">
      <w:pPr>
        <w:pStyle w:val="Default"/>
        <w:numPr>
          <w:ilvl w:val="0"/>
          <w:numId w:val="2"/>
        </w:numPr>
        <w:rPr>
          <w:sz w:val="18"/>
          <w:szCs w:val="18"/>
          <w:lang w:val="fr-BE"/>
        </w:rPr>
      </w:pPr>
      <w:r w:rsidRPr="008C436F">
        <w:rPr>
          <w:sz w:val="18"/>
          <w:szCs w:val="18"/>
          <w:lang w:val="fr-BE"/>
        </w:rPr>
        <w:t xml:space="preserve">sécable, </w:t>
      </w:r>
    </w:p>
    <w:p w14:paraId="3024F3B4" w14:textId="77777777" w:rsidR="00AB18A6" w:rsidRPr="008C436F" w:rsidRDefault="00AB18A6" w:rsidP="008C436F">
      <w:pPr>
        <w:pStyle w:val="Default"/>
        <w:numPr>
          <w:ilvl w:val="0"/>
          <w:numId w:val="2"/>
        </w:numPr>
        <w:rPr>
          <w:sz w:val="18"/>
          <w:szCs w:val="18"/>
          <w:lang w:val="fr-BE"/>
        </w:rPr>
      </w:pPr>
      <w:r w:rsidRPr="008C436F">
        <w:rPr>
          <w:sz w:val="18"/>
          <w:szCs w:val="18"/>
          <w:lang w:val="fr-BE"/>
        </w:rPr>
        <w:t xml:space="preserve">soluble (incluant notamment les formulations effervescentes et dispersibles), </w:t>
      </w:r>
    </w:p>
    <w:p w14:paraId="14A60374" w14:textId="77777777" w:rsidR="00AB18A6" w:rsidRPr="008C436F" w:rsidRDefault="00AB18A6" w:rsidP="008C436F">
      <w:pPr>
        <w:pStyle w:val="Default"/>
        <w:numPr>
          <w:ilvl w:val="0"/>
          <w:numId w:val="2"/>
        </w:numPr>
        <w:rPr>
          <w:sz w:val="18"/>
          <w:szCs w:val="18"/>
          <w:lang w:val="fr-BE"/>
        </w:rPr>
      </w:pPr>
      <w:r w:rsidRPr="008C436F">
        <w:rPr>
          <w:sz w:val="18"/>
          <w:szCs w:val="18"/>
          <w:lang w:val="fr-BE"/>
        </w:rPr>
        <w:t xml:space="preserve">gastro-résistant, </w:t>
      </w:r>
    </w:p>
    <w:p w14:paraId="3FDF426C" w14:textId="77777777" w:rsidR="00AB18A6" w:rsidRPr="008C436F" w:rsidRDefault="00AB18A6" w:rsidP="008C436F">
      <w:pPr>
        <w:pStyle w:val="Default"/>
        <w:numPr>
          <w:ilvl w:val="0"/>
          <w:numId w:val="2"/>
        </w:numPr>
        <w:rPr>
          <w:sz w:val="18"/>
          <w:szCs w:val="18"/>
          <w:lang w:val="fr-BE"/>
        </w:rPr>
      </w:pPr>
      <w:r w:rsidRPr="008C436F">
        <w:rPr>
          <w:sz w:val="18"/>
          <w:szCs w:val="18"/>
          <w:lang w:val="fr-BE"/>
        </w:rPr>
        <w:t xml:space="preserve">administré au moyen de dispositifs. </w:t>
      </w:r>
    </w:p>
    <w:p w14:paraId="7303F56F" w14:textId="77777777" w:rsidR="00AB18A6" w:rsidRPr="008C436F" w:rsidRDefault="00AB18A6" w:rsidP="008C436F">
      <w:pPr>
        <w:pStyle w:val="Default"/>
        <w:rPr>
          <w:sz w:val="18"/>
          <w:szCs w:val="18"/>
          <w:lang w:val="fr-BE"/>
        </w:rPr>
      </w:pPr>
    </w:p>
    <w:p w14:paraId="7C2F9C93" w14:textId="77777777" w:rsidR="001620D3" w:rsidRDefault="001620D3">
      <w:pPr>
        <w:rPr>
          <w:rFonts w:ascii="Verdana" w:hAnsi="Verdana" w:cs="Verdana"/>
          <w:color w:val="000000"/>
          <w:sz w:val="18"/>
          <w:szCs w:val="18"/>
          <w:lang w:val="fr-BE"/>
        </w:rPr>
      </w:pPr>
      <w:r>
        <w:rPr>
          <w:sz w:val="18"/>
          <w:szCs w:val="18"/>
          <w:lang w:val="fr-BE"/>
        </w:rPr>
        <w:br w:type="page"/>
      </w:r>
    </w:p>
    <w:p w14:paraId="79EB991C" w14:textId="2ABEFE54" w:rsidR="00AB18A6" w:rsidRPr="008C436F" w:rsidRDefault="00AB18A6" w:rsidP="008C436F">
      <w:pPr>
        <w:pStyle w:val="Default"/>
        <w:rPr>
          <w:sz w:val="18"/>
          <w:szCs w:val="18"/>
          <w:lang w:val="fr-BE"/>
        </w:rPr>
      </w:pPr>
      <w:r w:rsidRPr="008C436F">
        <w:rPr>
          <w:sz w:val="18"/>
          <w:szCs w:val="18"/>
          <w:lang w:val="fr-BE"/>
        </w:rPr>
        <w:lastRenderedPageBreak/>
        <w:t xml:space="preserve">Ces spécifications sont disponibles dans source authentique des médicaments. Au niveau des groupes DCI, il est chaque fois indiqué si des choix pertinents sont à faire concernant ces aspects, si le prescripteur le souhaite. </w:t>
      </w:r>
    </w:p>
    <w:p w14:paraId="5E5DB5B1" w14:textId="4996BF38" w:rsidR="00AB18A6" w:rsidRDefault="00AB18A6" w:rsidP="008C436F">
      <w:pPr>
        <w:pStyle w:val="Default"/>
        <w:rPr>
          <w:sz w:val="18"/>
          <w:szCs w:val="18"/>
          <w:lang w:val="fr-BE"/>
        </w:rPr>
      </w:pPr>
    </w:p>
    <w:p w14:paraId="37329F16" w14:textId="77777777" w:rsidR="001620D3" w:rsidRPr="008C436F" w:rsidRDefault="001620D3" w:rsidP="008C436F">
      <w:pPr>
        <w:pStyle w:val="Default"/>
        <w:rPr>
          <w:sz w:val="18"/>
          <w:szCs w:val="18"/>
          <w:lang w:val="fr-BE"/>
        </w:rPr>
      </w:pPr>
    </w:p>
    <w:p w14:paraId="4C101E24" w14:textId="10D12DE1" w:rsidR="00AB18A6" w:rsidRPr="008C436F" w:rsidRDefault="00AB18A6" w:rsidP="00864C50">
      <w:pPr>
        <w:pStyle w:val="Default"/>
        <w:ind w:left="426" w:hanging="426"/>
        <w:rPr>
          <w:b/>
          <w:bCs/>
          <w:color w:val="5B9BD3"/>
          <w:sz w:val="22"/>
          <w:szCs w:val="18"/>
          <w:lang w:val="fr-BE"/>
        </w:rPr>
      </w:pPr>
      <w:r w:rsidRPr="008C436F">
        <w:rPr>
          <w:b/>
          <w:bCs/>
          <w:color w:val="5B9BD3"/>
          <w:sz w:val="22"/>
          <w:szCs w:val="18"/>
          <w:lang w:val="fr-BE"/>
        </w:rPr>
        <w:t>5.</w:t>
      </w:r>
      <w:r w:rsidR="00864C50">
        <w:rPr>
          <w:b/>
          <w:bCs/>
          <w:color w:val="5B9BD3"/>
          <w:sz w:val="22"/>
          <w:szCs w:val="18"/>
          <w:lang w:val="fr-BE"/>
        </w:rPr>
        <w:tab/>
      </w:r>
      <w:r w:rsidRPr="008C436F">
        <w:rPr>
          <w:b/>
          <w:bCs/>
          <w:color w:val="5B9BD3"/>
          <w:sz w:val="22"/>
          <w:szCs w:val="18"/>
          <w:lang w:val="fr-BE"/>
        </w:rPr>
        <w:t xml:space="preserve">Groupes de médicaments pour lesquels il est déconseillé de prescrire en DCI (NO DCI) </w:t>
      </w:r>
    </w:p>
    <w:p w14:paraId="29D19A84" w14:textId="77777777" w:rsidR="00AB18A6" w:rsidRPr="008C436F" w:rsidRDefault="00AB18A6" w:rsidP="008C436F">
      <w:pPr>
        <w:pStyle w:val="Default"/>
        <w:rPr>
          <w:sz w:val="18"/>
          <w:szCs w:val="18"/>
          <w:lang w:val="fr-BE"/>
        </w:rPr>
      </w:pPr>
      <w:r w:rsidRPr="008C436F">
        <w:rPr>
          <w:sz w:val="18"/>
          <w:szCs w:val="18"/>
          <w:lang w:val="fr-BE"/>
        </w:rPr>
        <w:t xml:space="preserve">La prescription en DCI ne convient pas pour tous les groupes de médicaments. C’est pourquoi une catégorie NO DCI a été créée. Bien qu’il soit possible de rassembler ces médicaments par groupes, ces groupes sont difficilement prescriptibles en DCI. </w:t>
      </w:r>
    </w:p>
    <w:p w14:paraId="69217931" w14:textId="77777777" w:rsidR="00AB18A6" w:rsidRPr="008C436F" w:rsidRDefault="00AB18A6" w:rsidP="008C436F">
      <w:pPr>
        <w:pStyle w:val="Default"/>
        <w:rPr>
          <w:sz w:val="18"/>
          <w:szCs w:val="18"/>
          <w:lang w:val="fr-BE"/>
        </w:rPr>
      </w:pPr>
    </w:p>
    <w:p w14:paraId="44333254" w14:textId="388AEED9" w:rsidR="00AB18A6" w:rsidRPr="008C436F" w:rsidRDefault="00AB18A6" w:rsidP="00864C50">
      <w:pPr>
        <w:pStyle w:val="Default"/>
        <w:ind w:left="426" w:hanging="426"/>
        <w:rPr>
          <w:b/>
          <w:bCs/>
          <w:sz w:val="18"/>
          <w:szCs w:val="18"/>
          <w:lang w:val="fr-BE"/>
        </w:rPr>
      </w:pPr>
      <w:r w:rsidRPr="008C436F">
        <w:rPr>
          <w:b/>
          <w:bCs/>
          <w:sz w:val="18"/>
          <w:szCs w:val="18"/>
          <w:lang w:val="fr-BE"/>
        </w:rPr>
        <w:t>5.1</w:t>
      </w:r>
      <w:r w:rsidR="00864C50">
        <w:rPr>
          <w:b/>
          <w:bCs/>
          <w:sz w:val="18"/>
          <w:szCs w:val="18"/>
          <w:lang w:val="fr-BE"/>
        </w:rPr>
        <w:tab/>
      </w:r>
      <w:r w:rsidRPr="008C436F">
        <w:rPr>
          <w:b/>
          <w:bCs/>
          <w:sz w:val="18"/>
          <w:szCs w:val="18"/>
          <w:lang w:val="fr-BE"/>
        </w:rPr>
        <w:t xml:space="preserve">Médicaments biologiques (y compris les </w:t>
      </w:r>
      <w:r w:rsidR="00864C50">
        <w:rPr>
          <w:b/>
          <w:bCs/>
          <w:sz w:val="18"/>
          <w:szCs w:val="18"/>
          <w:lang w:val="fr-BE"/>
        </w:rPr>
        <w:t xml:space="preserve">médicaments </w:t>
      </w:r>
      <w:r w:rsidRPr="008C436F">
        <w:rPr>
          <w:b/>
          <w:bCs/>
          <w:sz w:val="18"/>
          <w:szCs w:val="18"/>
          <w:lang w:val="fr-BE"/>
        </w:rPr>
        <w:t xml:space="preserve">biosimilaires) </w:t>
      </w:r>
    </w:p>
    <w:p w14:paraId="60C97E95" w14:textId="48DE2C22" w:rsidR="00AB18A6" w:rsidRPr="008C436F" w:rsidRDefault="00AB18A6" w:rsidP="00864C50">
      <w:pPr>
        <w:pStyle w:val="Default"/>
        <w:ind w:left="1134" w:hanging="708"/>
        <w:rPr>
          <w:sz w:val="18"/>
          <w:szCs w:val="18"/>
          <w:lang w:val="fr-BE"/>
        </w:rPr>
      </w:pPr>
      <w:r w:rsidRPr="008C436F">
        <w:rPr>
          <w:b/>
          <w:bCs/>
          <w:sz w:val="18"/>
          <w:szCs w:val="18"/>
          <w:lang w:val="fr-BE"/>
        </w:rPr>
        <w:t>5.1.1</w:t>
      </w:r>
      <w:r w:rsidR="00864C50">
        <w:rPr>
          <w:b/>
          <w:bCs/>
          <w:sz w:val="18"/>
          <w:szCs w:val="18"/>
          <w:lang w:val="fr-BE"/>
        </w:rPr>
        <w:tab/>
      </w:r>
      <w:r w:rsidRPr="008C436F">
        <w:rPr>
          <w:b/>
          <w:bCs/>
          <w:sz w:val="18"/>
          <w:szCs w:val="18"/>
          <w:lang w:val="fr-BE"/>
        </w:rPr>
        <w:t xml:space="preserve">Introduction </w:t>
      </w:r>
    </w:p>
    <w:p w14:paraId="4AAB79F1" w14:textId="3D1FD25A" w:rsidR="008A186A" w:rsidRPr="008A186A" w:rsidRDefault="00AB18A6" w:rsidP="008A186A">
      <w:pPr>
        <w:pStyle w:val="Default"/>
        <w:rPr>
          <w:sz w:val="18"/>
          <w:szCs w:val="18"/>
          <w:lang w:val="fr-BE"/>
        </w:rPr>
      </w:pPr>
      <w:r w:rsidRPr="008C436F">
        <w:rPr>
          <w:sz w:val="18"/>
          <w:szCs w:val="18"/>
          <w:lang w:val="fr-BE"/>
        </w:rPr>
        <w:t>En Belgique, l’AFMPS déconseille la prescription en DCI pour les médicaments biologiques en général (voir plus loin pour la définition).</w:t>
      </w:r>
    </w:p>
    <w:p w14:paraId="7328F405" w14:textId="77777777" w:rsidR="00AB18A6" w:rsidRPr="008C436F" w:rsidRDefault="00AB18A6" w:rsidP="008C436F">
      <w:pPr>
        <w:pStyle w:val="Default"/>
        <w:rPr>
          <w:sz w:val="18"/>
          <w:szCs w:val="18"/>
          <w:lang w:val="fr-BE"/>
        </w:rPr>
      </w:pPr>
    </w:p>
    <w:p w14:paraId="05265A22" w14:textId="7D46DC81" w:rsidR="00AB18A6" w:rsidRPr="008C436F" w:rsidRDefault="00AB18A6" w:rsidP="008C436F">
      <w:pPr>
        <w:pStyle w:val="Default"/>
        <w:rPr>
          <w:sz w:val="18"/>
          <w:szCs w:val="18"/>
          <w:lang w:val="fr-BE"/>
        </w:rPr>
      </w:pPr>
      <w:r w:rsidRPr="008C436F">
        <w:rPr>
          <w:sz w:val="18"/>
          <w:szCs w:val="18"/>
          <w:lang w:val="fr-BE"/>
        </w:rPr>
        <w:t xml:space="preserve">Cette décision est basée sur le fait que le processus de fabrication de ces médicaments est hautement complexe, ce qui rend la structure moléculaire de chaque produit biologique relativement hétérogène et unique. L’exclusion de la prescription en DCI évite les switches multiples entre spécialités sans follow-up par le prescripteur. De plus, le système de nomenclature INN utilisé pour les médicaments chimiques dans le cadre de la prescription en DCI n’est pas toujours facilement applicable aux </w:t>
      </w:r>
      <w:r w:rsidR="008A186A">
        <w:rPr>
          <w:sz w:val="18"/>
          <w:szCs w:val="18"/>
          <w:lang w:val="fr-BE"/>
        </w:rPr>
        <w:t xml:space="preserve">médicaments </w:t>
      </w:r>
      <w:r w:rsidRPr="008C436F">
        <w:rPr>
          <w:sz w:val="18"/>
          <w:szCs w:val="18"/>
          <w:lang w:val="fr-BE"/>
        </w:rPr>
        <w:t>biologiques et son usage est encore débattu.</w:t>
      </w:r>
    </w:p>
    <w:p w14:paraId="2B5C76A3" w14:textId="77777777" w:rsidR="00AB18A6" w:rsidRPr="008C436F" w:rsidRDefault="00AB18A6" w:rsidP="008C436F">
      <w:pPr>
        <w:pStyle w:val="Default"/>
        <w:rPr>
          <w:sz w:val="18"/>
          <w:szCs w:val="18"/>
          <w:lang w:val="fr-BE"/>
        </w:rPr>
      </w:pPr>
    </w:p>
    <w:p w14:paraId="2C4DEAF8" w14:textId="3BD44647" w:rsidR="008A186A" w:rsidRPr="003B4C58" w:rsidRDefault="00AB18A6" w:rsidP="008A186A">
      <w:pPr>
        <w:pStyle w:val="Default"/>
        <w:rPr>
          <w:sz w:val="18"/>
          <w:szCs w:val="18"/>
          <w:lang w:val="fr-FR"/>
        </w:rPr>
      </w:pPr>
      <w:r w:rsidRPr="008C436F">
        <w:rPr>
          <w:sz w:val="18"/>
          <w:szCs w:val="18"/>
          <w:lang w:val="fr-BE"/>
        </w:rPr>
        <w:t>Une exception est cependant formulée pour les vaccins influenza pour lesquels la prescription en DCI est encouragée par l’INAMI. Au lieu d’utiliser la règle qui stipule que la substance active, le dosage et la voie d’administration doivent figurer sur la prescription pour désigner le groupe DCI, il suffit dans ce cas-là de mentionner « vaccin influenza injectable » ou « vaccin influenza inactivé ». Par conséquent, ce groupe DCI contient aussi bien les vaccins influenza injectables (mais inactivés) trivalents que les tétravalents. Les experts sont d’avis qu’aucune distinction cliniquement significative ne peut être faite entre ces différents vaccins influenza. Le vaccin vivant influenza administré par voie nasale se retrouve quant à lui dans un groupe DCI séparé.</w:t>
      </w:r>
      <w:r w:rsidR="008A186A" w:rsidRPr="003B4C58">
        <w:rPr>
          <w:sz w:val="18"/>
          <w:szCs w:val="18"/>
          <w:lang w:val="fr-FR"/>
        </w:rPr>
        <w:t xml:space="preserve"> </w:t>
      </w:r>
    </w:p>
    <w:p w14:paraId="551D26D3" w14:textId="443BFD3E" w:rsidR="00AB18A6" w:rsidRPr="008C436F" w:rsidRDefault="00AB18A6" w:rsidP="008C436F">
      <w:pPr>
        <w:pStyle w:val="Default"/>
        <w:rPr>
          <w:sz w:val="18"/>
          <w:szCs w:val="18"/>
          <w:lang w:val="fr-BE"/>
        </w:rPr>
      </w:pPr>
    </w:p>
    <w:p w14:paraId="71FBA7F1" w14:textId="5E66B7AB" w:rsidR="00AB18A6" w:rsidRPr="008C436F" w:rsidRDefault="00AB18A6" w:rsidP="008C436F">
      <w:pPr>
        <w:pStyle w:val="Default"/>
        <w:rPr>
          <w:sz w:val="18"/>
          <w:szCs w:val="18"/>
          <w:lang w:val="fr-BE"/>
        </w:rPr>
      </w:pPr>
    </w:p>
    <w:p w14:paraId="45A6915A" w14:textId="617A18EF" w:rsidR="00AB18A6" w:rsidRPr="008C436F" w:rsidRDefault="00AB18A6" w:rsidP="00523DDD">
      <w:pPr>
        <w:pStyle w:val="Default"/>
        <w:ind w:left="1134" w:hanging="708"/>
        <w:rPr>
          <w:b/>
          <w:bCs/>
          <w:sz w:val="18"/>
          <w:szCs w:val="18"/>
          <w:lang w:val="fr-BE"/>
        </w:rPr>
      </w:pPr>
      <w:r w:rsidRPr="008C436F">
        <w:rPr>
          <w:b/>
          <w:bCs/>
          <w:sz w:val="18"/>
          <w:szCs w:val="18"/>
          <w:lang w:val="fr-BE"/>
        </w:rPr>
        <w:t>5.1.2</w:t>
      </w:r>
      <w:r w:rsidR="00523DDD">
        <w:rPr>
          <w:b/>
          <w:bCs/>
          <w:sz w:val="18"/>
          <w:szCs w:val="18"/>
          <w:lang w:val="fr-BE"/>
        </w:rPr>
        <w:tab/>
      </w:r>
      <w:r w:rsidRPr="008C436F">
        <w:rPr>
          <w:b/>
          <w:bCs/>
          <w:sz w:val="18"/>
          <w:szCs w:val="18"/>
          <w:lang w:val="fr-BE"/>
        </w:rPr>
        <w:t xml:space="preserve">Définition d’un médicament biologique (arrêté royal du 14 décembre 2006) </w:t>
      </w:r>
    </w:p>
    <w:p w14:paraId="3573831F" w14:textId="05DC9932" w:rsidR="00AB18A6" w:rsidRPr="008C436F" w:rsidRDefault="00AB18A6" w:rsidP="008C436F">
      <w:pPr>
        <w:pStyle w:val="Default"/>
        <w:rPr>
          <w:sz w:val="18"/>
          <w:szCs w:val="18"/>
          <w:lang w:val="fr-BE"/>
        </w:rPr>
      </w:pPr>
      <w:r w:rsidRPr="008C436F">
        <w:rPr>
          <w:sz w:val="18"/>
          <w:szCs w:val="18"/>
          <w:lang w:val="fr-BE"/>
        </w:rPr>
        <w:t xml:space="preserve">Un </w:t>
      </w:r>
      <w:r w:rsidRPr="008C436F">
        <w:rPr>
          <w:b/>
          <w:bCs/>
          <w:sz w:val="18"/>
          <w:szCs w:val="18"/>
          <w:lang w:val="fr-BE"/>
        </w:rPr>
        <w:t xml:space="preserve">médicament biologique </w:t>
      </w:r>
      <w:r w:rsidRPr="008C436F">
        <w:rPr>
          <w:sz w:val="18"/>
          <w:szCs w:val="18"/>
          <w:lang w:val="fr-BE"/>
        </w:rPr>
        <w:t xml:space="preserve">est un médicament dont la substance active est produite à partir d’une source biologique ou en est extraite et dont la caractérisation et la détermination de la qualité nécessitent une combinaison d’essais physiques, chimiques et biologiques, ainsi que la connaissance et le contrôle de son procédé de fabrication. Cette définition est reprise dans l’annexe I de l’arrêté royal du 14 décembre 2006 relatif aux médicaments à usage humain et vétérinaire. </w:t>
      </w:r>
    </w:p>
    <w:p w14:paraId="2B7A132E" w14:textId="77777777" w:rsidR="00AB18A6" w:rsidRPr="008C436F" w:rsidRDefault="00AB18A6" w:rsidP="008C436F">
      <w:pPr>
        <w:pStyle w:val="Default"/>
        <w:rPr>
          <w:sz w:val="16"/>
          <w:szCs w:val="16"/>
          <w:lang w:val="fr-BE"/>
        </w:rPr>
      </w:pPr>
    </w:p>
    <w:p w14:paraId="053E9A2A" w14:textId="17E39B5E" w:rsidR="00AB18A6" w:rsidRDefault="00AB18A6" w:rsidP="008C436F">
      <w:pPr>
        <w:pStyle w:val="Default"/>
        <w:rPr>
          <w:sz w:val="18"/>
          <w:szCs w:val="18"/>
          <w:lang w:val="fr-BE"/>
        </w:rPr>
      </w:pPr>
      <w:r w:rsidRPr="008C436F">
        <w:rPr>
          <w:sz w:val="18"/>
          <w:szCs w:val="18"/>
          <w:lang w:val="fr-BE"/>
        </w:rPr>
        <w:t xml:space="preserve">Sont considérés comme médicaments biologiques : </w:t>
      </w:r>
    </w:p>
    <w:p w14:paraId="11CC2058" w14:textId="77777777" w:rsidR="00B03150" w:rsidRPr="008C436F" w:rsidRDefault="00B03150" w:rsidP="008C436F">
      <w:pPr>
        <w:pStyle w:val="Default"/>
        <w:rPr>
          <w:sz w:val="18"/>
          <w:szCs w:val="18"/>
          <w:lang w:val="fr-BE"/>
        </w:rPr>
      </w:pPr>
    </w:p>
    <w:p w14:paraId="4DACF78D" w14:textId="77777777" w:rsidR="00AB18A6" w:rsidRPr="008C436F" w:rsidRDefault="00AB18A6" w:rsidP="00B03150">
      <w:pPr>
        <w:pStyle w:val="Default"/>
        <w:numPr>
          <w:ilvl w:val="0"/>
          <w:numId w:val="3"/>
        </w:numPr>
        <w:ind w:left="426" w:hanging="426"/>
        <w:rPr>
          <w:sz w:val="18"/>
          <w:szCs w:val="18"/>
          <w:lang w:val="fr-BE"/>
        </w:rPr>
      </w:pPr>
      <w:r w:rsidRPr="008C436F">
        <w:rPr>
          <w:sz w:val="18"/>
          <w:szCs w:val="18"/>
          <w:lang w:val="fr-BE"/>
        </w:rPr>
        <w:t xml:space="preserve">les médicaments immunologiques, </w:t>
      </w:r>
    </w:p>
    <w:p w14:paraId="7FA1C232" w14:textId="77777777" w:rsidR="00AB18A6" w:rsidRPr="008C436F" w:rsidRDefault="00AB18A6" w:rsidP="00B03150">
      <w:pPr>
        <w:pStyle w:val="Default"/>
        <w:numPr>
          <w:ilvl w:val="0"/>
          <w:numId w:val="3"/>
        </w:numPr>
        <w:ind w:left="426" w:hanging="426"/>
        <w:rPr>
          <w:sz w:val="18"/>
          <w:szCs w:val="18"/>
          <w:lang w:val="fr-BE"/>
        </w:rPr>
      </w:pPr>
      <w:r w:rsidRPr="008C436F">
        <w:rPr>
          <w:sz w:val="18"/>
          <w:szCs w:val="18"/>
          <w:lang w:val="fr-BE"/>
        </w:rPr>
        <w:t xml:space="preserve">les médicaments dérivés du sang et du plasma humain, </w:t>
      </w:r>
    </w:p>
    <w:p w14:paraId="7BA40088" w14:textId="0AC58E5F" w:rsidR="00AB18A6" w:rsidRDefault="00AB18A6" w:rsidP="00B03150">
      <w:pPr>
        <w:pStyle w:val="Default"/>
        <w:numPr>
          <w:ilvl w:val="0"/>
          <w:numId w:val="3"/>
        </w:numPr>
        <w:ind w:left="426" w:hanging="426"/>
        <w:rPr>
          <w:sz w:val="18"/>
          <w:szCs w:val="18"/>
          <w:lang w:val="fr-BE"/>
        </w:rPr>
      </w:pPr>
      <w:r w:rsidRPr="008C436F">
        <w:rPr>
          <w:sz w:val="18"/>
          <w:szCs w:val="18"/>
          <w:lang w:val="fr-BE"/>
        </w:rPr>
        <w:t xml:space="preserve">les médicaments entrant dans le champ d’application du point 1 de l’annexe I du règlement </w:t>
      </w:r>
      <w:r w:rsidR="00B03150">
        <w:rPr>
          <w:sz w:val="18"/>
          <w:szCs w:val="18"/>
          <w:lang w:val="fr-BE"/>
        </w:rPr>
        <w:t xml:space="preserve">européen </w:t>
      </w:r>
      <w:r w:rsidRPr="008C436F">
        <w:rPr>
          <w:sz w:val="18"/>
          <w:szCs w:val="18"/>
          <w:lang w:val="fr-BE"/>
        </w:rPr>
        <w:t xml:space="preserve">(CE) n° 726/2004, c.-à-d. des médicaments issus de l’un des procédés biotechnologiques suivants : </w:t>
      </w:r>
    </w:p>
    <w:p w14:paraId="57F37820" w14:textId="77777777" w:rsidR="00B03150" w:rsidRPr="008C436F" w:rsidRDefault="00B03150" w:rsidP="00B03150">
      <w:pPr>
        <w:pStyle w:val="Default"/>
        <w:ind w:left="426"/>
        <w:rPr>
          <w:sz w:val="18"/>
          <w:szCs w:val="18"/>
          <w:lang w:val="fr-BE"/>
        </w:rPr>
      </w:pPr>
    </w:p>
    <w:p w14:paraId="5DB551B9" w14:textId="77777777" w:rsidR="00AB18A6" w:rsidRPr="008C436F" w:rsidRDefault="00AB18A6" w:rsidP="00B03150">
      <w:pPr>
        <w:pStyle w:val="Default"/>
        <w:numPr>
          <w:ilvl w:val="0"/>
          <w:numId w:val="8"/>
        </w:numPr>
        <w:ind w:left="851" w:hanging="425"/>
        <w:rPr>
          <w:sz w:val="18"/>
          <w:szCs w:val="18"/>
          <w:lang w:val="fr-BE"/>
        </w:rPr>
      </w:pPr>
      <w:r w:rsidRPr="008C436F">
        <w:rPr>
          <w:sz w:val="18"/>
          <w:szCs w:val="18"/>
          <w:lang w:val="fr-BE"/>
        </w:rPr>
        <w:t xml:space="preserve">technologie de l’acide désoxyribonucléique recombinant, </w:t>
      </w:r>
    </w:p>
    <w:p w14:paraId="100D0AD7" w14:textId="77777777" w:rsidR="00AB18A6" w:rsidRPr="008C436F" w:rsidRDefault="00AB18A6" w:rsidP="00B03150">
      <w:pPr>
        <w:pStyle w:val="Default"/>
        <w:numPr>
          <w:ilvl w:val="0"/>
          <w:numId w:val="8"/>
        </w:numPr>
        <w:ind w:left="851" w:hanging="425"/>
        <w:rPr>
          <w:sz w:val="18"/>
          <w:szCs w:val="18"/>
          <w:lang w:val="fr-BE"/>
        </w:rPr>
      </w:pPr>
      <w:r w:rsidRPr="008C436F">
        <w:rPr>
          <w:sz w:val="18"/>
          <w:szCs w:val="18"/>
          <w:lang w:val="fr-BE"/>
        </w:rPr>
        <w:t xml:space="preserve">expression contrôlée de gènes codants pour des protéines biologiquement actives dans des procaryotes et des eucaryotes, y compris des cellules transformées de mammifères, </w:t>
      </w:r>
    </w:p>
    <w:p w14:paraId="5F658B68" w14:textId="0F683745" w:rsidR="00AB18A6" w:rsidRPr="008C436F" w:rsidRDefault="00AB18A6" w:rsidP="00B03150">
      <w:pPr>
        <w:pStyle w:val="Default"/>
        <w:numPr>
          <w:ilvl w:val="0"/>
          <w:numId w:val="8"/>
        </w:numPr>
        <w:ind w:left="851" w:hanging="425"/>
        <w:rPr>
          <w:sz w:val="18"/>
          <w:szCs w:val="18"/>
          <w:lang w:val="fr-BE"/>
        </w:rPr>
      </w:pPr>
      <w:r w:rsidRPr="008C436F">
        <w:rPr>
          <w:sz w:val="18"/>
          <w:szCs w:val="18"/>
          <w:lang w:val="fr-BE"/>
        </w:rPr>
        <w:t>méthodes à base d’hybridomes et d’anticorps monoclonaux</w:t>
      </w:r>
      <w:r w:rsidR="00B03150">
        <w:rPr>
          <w:sz w:val="18"/>
          <w:szCs w:val="18"/>
          <w:lang w:val="fr-BE"/>
        </w:rPr>
        <w:t>,</w:t>
      </w:r>
      <w:r w:rsidRPr="008C436F">
        <w:rPr>
          <w:sz w:val="18"/>
          <w:szCs w:val="18"/>
          <w:lang w:val="fr-BE"/>
        </w:rPr>
        <w:t xml:space="preserve"> </w:t>
      </w:r>
    </w:p>
    <w:p w14:paraId="55A2028D" w14:textId="41BF93F2" w:rsidR="00AB18A6" w:rsidRPr="008C436F" w:rsidRDefault="00AB18A6" w:rsidP="00FA336B">
      <w:pPr>
        <w:pStyle w:val="Default"/>
        <w:numPr>
          <w:ilvl w:val="0"/>
          <w:numId w:val="8"/>
        </w:numPr>
        <w:ind w:left="426" w:hanging="426"/>
        <w:rPr>
          <w:sz w:val="18"/>
          <w:szCs w:val="18"/>
          <w:lang w:val="fr-BE"/>
        </w:rPr>
      </w:pPr>
      <w:r w:rsidRPr="008C436F">
        <w:rPr>
          <w:sz w:val="18"/>
          <w:szCs w:val="18"/>
          <w:lang w:val="fr-BE"/>
        </w:rPr>
        <w:t>Les médicaments de thérapie innovante (</w:t>
      </w:r>
      <w:r w:rsidR="00B03150">
        <w:rPr>
          <w:sz w:val="18"/>
          <w:szCs w:val="18"/>
          <w:lang w:val="fr-BE"/>
        </w:rPr>
        <w:t>a</w:t>
      </w:r>
      <w:r w:rsidRPr="008C436F">
        <w:rPr>
          <w:sz w:val="18"/>
          <w:szCs w:val="18"/>
          <w:lang w:val="fr-BE"/>
        </w:rPr>
        <w:t xml:space="preserve">dvanced Therapy Medicinal products, ATMP) définis dans la partie IV de l’annexe I de l’arrêté royal du 14 décembre 2006 : </w:t>
      </w:r>
    </w:p>
    <w:p w14:paraId="4348B908" w14:textId="77777777" w:rsidR="00AB18A6" w:rsidRPr="008C436F" w:rsidRDefault="00AB18A6" w:rsidP="008C436F">
      <w:pPr>
        <w:pStyle w:val="Default"/>
        <w:rPr>
          <w:sz w:val="18"/>
          <w:szCs w:val="18"/>
          <w:lang w:val="fr-BE"/>
        </w:rPr>
      </w:pPr>
    </w:p>
    <w:p w14:paraId="57EF51A1" w14:textId="179FA001" w:rsidR="00AB18A6" w:rsidRPr="008C436F" w:rsidRDefault="00AB18A6" w:rsidP="00B03150">
      <w:pPr>
        <w:pStyle w:val="Default"/>
        <w:ind w:left="851"/>
        <w:rPr>
          <w:sz w:val="18"/>
          <w:szCs w:val="18"/>
          <w:lang w:val="fr-BE"/>
        </w:rPr>
      </w:pPr>
      <w:r w:rsidRPr="008C436F">
        <w:rPr>
          <w:sz w:val="18"/>
          <w:szCs w:val="18"/>
          <w:lang w:val="fr-BE"/>
        </w:rPr>
        <w:t>Les médicaments de thérapie innovante se fondent sur des procédés de fabrication axés sur différentes biomolécules produites par transfert de gènes, et/ou sur des cellules dont les propriétés biologiques ont été modifiées et qui sont utilisées comme substances actives ou parties de substances actives. L’on distingue ici les médicaments de thérapie génique et ceux de cellulo-thérapie somatique.</w:t>
      </w:r>
      <w:r w:rsidR="00B03150">
        <w:rPr>
          <w:sz w:val="18"/>
          <w:szCs w:val="18"/>
          <w:lang w:val="fr-BE"/>
        </w:rPr>
        <w:t> »</w:t>
      </w:r>
    </w:p>
    <w:p w14:paraId="131B72A5" w14:textId="77777777" w:rsidR="00AB18A6" w:rsidRPr="008C436F" w:rsidRDefault="00AB18A6" w:rsidP="008C436F">
      <w:pPr>
        <w:pStyle w:val="Default"/>
        <w:ind w:left="720"/>
        <w:rPr>
          <w:sz w:val="16"/>
          <w:szCs w:val="16"/>
          <w:lang w:val="fr-BE"/>
        </w:rPr>
      </w:pPr>
    </w:p>
    <w:p w14:paraId="0A77F5F4" w14:textId="77777777" w:rsidR="00FA336B" w:rsidRDefault="00FA336B">
      <w:pPr>
        <w:rPr>
          <w:rFonts w:ascii="Verdana" w:hAnsi="Verdana" w:cs="Verdana"/>
          <w:b/>
          <w:bCs/>
          <w:color w:val="000000"/>
          <w:sz w:val="18"/>
          <w:szCs w:val="18"/>
          <w:lang w:val="fr-BE"/>
        </w:rPr>
      </w:pPr>
      <w:r>
        <w:rPr>
          <w:b/>
          <w:bCs/>
          <w:sz w:val="18"/>
          <w:szCs w:val="18"/>
          <w:lang w:val="fr-BE"/>
        </w:rPr>
        <w:br w:type="page"/>
      </w:r>
    </w:p>
    <w:p w14:paraId="1F09DFA9" w14:textId="24FFF573" w:rsidR="00AB18A6" w:rsidRPr="008C436F" w:rsidRDefault="00AB18A6" w:rsidP="00FA336B">
      <w:pPr>
        <w:pStyle w:val="Default"/>
        <w:ind w:left="1134" w:hanging="708"/>
        <w:rPr>
          <w:b/>
          <w:bCs/>
          <w:sz w:val="18"/>
          <w:szCs w:val="18"/>
          <w:lang w:val="fr-BE"/>
        </w:rPr>
      </w:pPr>
      <w:r w:rsidRPr="008C436F">
        <w:rPr>
          <w:b/>
          <w:bCs/>
          <w:sz w:val="18"/>
          <w:szCs w:val="18"/>
          <w:lang w:val="fr-BE"/>
        </w:rPr>
        <w:lastRenderedPageBreak/>
        <w:t>5.1.3</w:t>
      </w:r>
      <w:r w:rsidR="00672C94">
        <w:rPr>
          <w:b/>
          <w:bCs/>
          <w:sz w:val="18"/>
          <w:szCs w:val="18"/>
          <w:lang w:val="fr-BE"/>
        </w:rPr>
        <w:tab/>
      </w:r>
      <w:r w:rsidRPr="008C436F">
        <w:rPr>
          <w:b/>
          <w:bCs/>
          <w:sz w:val="18"/>
          <w:szCs w:val="18"/>
          <w:lang w:val="fr-BE"/>
        </w:rPr>
        <w:t xml:space="preserve">Liste des médicaments biologiques sur le marché belge </w:t>
      </w:r>
    </w:p>
    <w:p w14:paraId="1DA57EFF" w14:textId="6E530EFB" w:rsidR="00AB18A6" w:rsidRPr="008C436F" w:rsidRDefault="00AB18A6" w:rsidP="00FA336B">
      <w:pPr>
        <w:pStyle w:val="Default"/>
        <w:rPr>
          <w:sz w:val="16"/>
          <w:szCs w:val="16"/>
          <w:lang w:val="fr-BE"/>
        </w:rPr>
      </w:pPr>
      <w:r w:rsidRPr="008C436F">
        <w:rPr>
          <w:sz w:val="18"/>
          <w:szCs w:val="18"/>
          <w:lang w:val="fr-BE"/>
        </w:rPr>
        <w:t xml:space="preserve">Une liste des </w:t>
      </w:r>
      <w:r w:rsidR="00DE3244">
        <w:rPr>
          <w:sz w:val="18"/>
          <w:szCs w:val="18"/>
          <w:lang w:val="fr-BE"/>
        </w:rPr>
        <w:t xml:space="preserve">médicaments </w:t>
      </w:r>
      <w:r w:rsidRPr="008C436F">
        <w:rPr>
          <w:sz w:val="18"/>
          <w:szCs w:val="18"/>
          <w:lang w:val="fr-BE"/>
        </w:rPr>
        <w:t xml:space="preserve">biosimilaires autorisés dans l’Union Européenne est accessible sur </w:t>
      </w:r>
      <w:r w:rsidRPr="007B5823">
        <w:rPr>
          <w:sz w:val="18"/>
          <w:szCs w:val="18"/>
          <w:lang w:val="fr-BE"/>
        </w:rPr>
        <w:t xml:space="preserve">le site </w:t>
      </w:r>
      <w:r w:rsidR="0052055A" w:rsidRPr="007B5823">
        <w:rPr>
          <w:sz w:val="18"/>
          <w:szCs w:val="18"/>
          <w:lang w:val="fr-BE"/>
        </w:rPr>
        <w:t xml:space="preserve">web </w:t>
      </w:r>
      <w:r w:rsidRPr="007B5823">
        <w:rPr>
          <w:sz w:val="18"/>
          <w:szCs w:val="18"/>
          <w:lang w:val="fr-BE"/>
        </w:rPr>
        <w:t>de l’</w:t>
      </w:r>
      <w:r w:rsidR="0052055A" w:rsidRPr="007B5823">
        <w:rPr>
          <w:sz w:val="18"/>
          <w:szCs w:val="18"/>
          <w:lang w:val="fr-BE"/>
        </w:rPr>
        <w:t>Agence européenne des médicaments</w:t>
      </w:r>
      <w:r w:rsidR="007F1F06" w:rsidRPr="007B5823">
        <w:rPr>
          <w:sz w:val="18"/>
          <w:szCs w:val="18"/>
          <w:lang w:val="nl-BE"/>
        </w:rPr>
        <w:t xml:space="preserve"> (European Medicines Agency, EMA)</w:t>
      </w:r>
      <w:r w:rsidRPr="008C436F">
        <w:rPr>
          <w:sz w:val="18"/>
          <w:szCs w:val="18"/>
          <w:lang w:val="fr-BE"/>
        </w:rPr>
        <w:t xml:space="preserve">. Le site du CBIP informe sur les </w:t>
      </w:r>
      <w:r w:rsidR="00DE3244">
        <w:rPr>
          <w:sz w:val="18"/>
          <w:szCs w:val="18"/>
          <w:lang w:val="fr-BE"/>
        </w:rPr>
        <w:t xml:space="preserve">médicaments </w:t>
      </w:r>
      <w:r w:rsidRPr="008C436F">
        <w:rPr>
          <w:sz w:val="18"/>
          <w:szCs w:val="18"/>
          <w:lang w:val="fr-BE"/>
        </w:rPr>
        <w:t>biologiques et biosimilaires commercialisés en Belgique.</w:t>
      </w:r>
    </w:p>
    <w:p w14:paraId="5CC69C99" w14:textId="77777777" w:rsidR="00FA336B" w:rsidRDefault="00FA336B" w:rsidP="00FA336B">
      <w:pPr>
        <w:spacing w:after="0" w:line="240" w:lineRule="auto"/>
        <w:rPr>
          <w:b/>
          <w:bCs/>
          <w:sz w:val="18"/>
          <w:szCs w:val="18"/>
          <w:lang w:val="fr-BE"/>
        </w:rPr>
      </w:pPr>
    </w:p>
    <w:p w14:paraId="7105C4A4" w14:textId="4CBEBC9F" w:rsidR="00AB18A6" w:rsidRPr="008C436F" w:rsidRDefault="00AB18A6" w:rsidP="00FA336B">
      <w:pPr>
        <w:pStyle w:val="Default"/>
        <w:ind w:left="567" w:hanging="567"/>
        <w:rPr>
          <w:b/>
          <w:bCs/>
          <w:sz w:val="18"/>
          <w:szCs w:val="18"/>
          <w:lang w:val="fr-BE"/>
        </w:rPr>
      </w:pPr>
      <w:r w:rsidRPr="00751777">
        <w:rPr>
          <w:b/>
          <w:bCs/>
          <w:sz w:val="18"/>
          <w:szCs w:val="18"/>
          <w:lang w:val="fr-BE"/>
        </w:rPr>
        <w:t>5.2</w:t>
      </w:r>
      <w:r w:rsidR="00751777" w:rsidRPr="00751777">
        <w:rPr>
          <w:b/>
          <w:bCs/>
          <w:sz w:val="18"/>
          <w:szCs w:val="18"/>
          <w:lang w:val="fr-BE"/>
        </w:rPr>
        <w:tab/>
      </w:r>
      <w:r w:rsidRPr="00751777">
        <w:rPr>
          <w:b/>
          <w:bCs/>
          <w:sz w:val="18"/>
          <w:szCs w:val="18"/>
          <w:lang w:val="fr-BE"/>
        </w:rPr>
        <w:t>Autres groupes de médicaments dont la prescription en DCI pourrait entrainer des problèmes</w:t>
      </w:r>
      <w:r w:rsidRPr="008C436F">
        <w:rPr>
          <w:b/>
          <w:bCs/>
          <w:sz w:val="18"/>
          <w:szCs w:val="18"/>
          <w:lang w:val="fr-BE"/>
        </w:rPr>
        <w:t xml:space="preserve"> </w:t>
      </w:r>
    </w:p>
    <w:p w14:paraId="445192AF" w14:textId="55B6A103" w:rsidR="00AB18A6" w:rsidRPr="008C436F" w:rsidRDefault="00AB18A6" w:rsidP="00FA336B">
      <w:pPr>
        <w:pStyle w:val="Default"/>
        <w:ind w:left="567"/>
        <w:rPr>
          <w:b/>
          <w:bCs/>
          <w:sz w:val="18"/>
          <w:szCs w:val="18"/>
          <w:lang w:val="fr-BE"/>
        </w:rPr>
      </w:pPr>
      <w:r w:rsidRPr="008C436F">
        <w:rPr>
          <w:b/>
          <w:bCs/>
          <w:sz w:val="18"/>
          <w:szCs w:val="18"/>
          <w:lang w:val="fr-BE"/>
        </w:rPr>
        <w:t>5.2.1</w:t>
      </w:r>
      <w:r w:rsidR="00751777">
        <w:rPr>
          <w:b/>
          <w:bCs/>
          <w:sz w:val="18"/>
          <w:szCs w:val="18"/>
          <w:lang w:val="fr-BE"/>
        </w:rPr>
        <w:tab/>
      </w:r>
      <w:r w:rsidRPr="008C436F">
        <w:rPr>
          <w:b/>
          <w:bCs/>
          <w:sz w:val="18"/>
          <w:szCs w:val="18"/>
          <w:lang w:val="fr-BE"/>
        </w:rPr>
        <w:t xml:space="preserve">Le glatiramère </w:t>
      </w:r>
    </w:p>
    <w:p w14:paraId="121B447B" w14:textId="28BC7F11" w:rsidR="00AB18A6" w:rsidRPr="008C436F" w:rsidRDefault="00AB18A6" w:rsidP="00FA336B">
      <w:pPr>
        <w:pStyle w:val="Default"/>
        <w:rPr>
          <w:sz w:val="18"/>
          <w:szCs w:val="18"/>
          <w:lang w:val="fr-BE"/>
        </w:rPr>
      </w:pPr>
      <w:r w:rsidRPr="008C436F">
        <w:rPr>
          <w:sz w:val="18"/>
          <w:szCs w:val="18"/>
          <w:lang w:val="fr-BE"/>
        </w:rPr>
        <w:t>L’acétate de glatiramère est un mélange complexe de polypeptides de synthèse de séquence et de taille aléatoires. Le poids moléculaire moyen des polypeptides obtenus se situe entre 5</w:t>
      </w:r>
      <w:r w:rsidR="00751777">
        <w:rPr>
          <w:sz w:val="18"/>
          <w:szCs w:val="18"/>
          <w:lang w:val="fr-BE"/>
        </w:rPr>
        <w:t xml:space="preserve"> </w:t>
      </w:r>
      <w:r w:rsidRPr="008C436F">
        <w:rPr>
          <w:sz w:val="18"/>
          <w:szCs w:val="18"/>
          <w:lang w:val="fr-BE"/>
        </w:rPr>
        <w:t>000 et 9</w:t>
      </w:r>
      <w:r w:rsidR="00751777">
        <w:rPr>
          <w:sz w:val="18"/>
          <w:szCs w:val="18"/>
          <w:lang w:val="fr-BE"/>
        </w:rPr>
        <w:t xml:space="preserve"> </w:t>
      </w:r>
      <w:r w:rsidRPr="008C436F">
        <w:rPr>
          <w:sz w:val="18"/>
          <w:szCs w:val="18"/>
          <w:lang w:val="fr-BE"/>
        </w:rPr>
        <w:t xml:space="preserve">000 daltons et il n’est pas possible de déterminer précisément la composition de la substance active. </w:t>
      </w:r>
    </w:p>
    <w:p w14:paraId="3B1EE838" w14:textId="77777777" w:rsidR="00AB18A6" w:rsidRPr="008C436F" w:rsidRDefault="00AB18A6" w:rsidP="00FA336B">
      <w:pPr>
        <w:pStyle w:val="Default"/>
        <w:rPr>
          <w:sz w:val="16"/>
          <w:szCs w:val="16"/>
          <w:lang w:val="fr-BE"/>
        </w:rPr>
      </w:pPr>
    </w:p>
    <w:p w14:paraId="2BBF7567" w14:textId="77777777" w:rsidR="00AB18A6" w:rsidRPr="008C436F" w:rsidRDefault="00AB18A6" w:rsidP="00FA336B">
      <w:pPr>
        <w:pStyle w:val="Default"/>
        <w:rPr>
          <w:sz w:val="18"/>
          <w:szCs w:val="18"/>
          <w:lang w:val="fr-BE"/>
        </w:rPr>
      </w:pPr>
      <w:r w:rsidRPr="008C436F">
        <w:rPr>
          <w:sz w:val="18"/>
          <w:szCs w:val="18"/>
          <w:lang w:val="fr-BE"/>
        </w:rPr>
        <w:t xml:space="preserve">Malgré que ces mélanges complexes soient définis comme des médicaments chimiques, ces médicaments sont fortement apparentés aux médicaments biologiques vu la complexité de la substance active et leur potentiel immunogène. Ils sont par conséquent repris dans la catégorie des Non-Biological Complex Drugs (NBCD). </w:t>
      </w:r>
    </w:p>
    <w:p w14:paraId="6B07A7B6" w14:textId="77777777" w:rsidR="00AB18A6" w:rsidRPr="008C436F" w:rsidRDefault="00AB18A6" w:rsidP="00FA336B">
      <w:pPr>
        <w:pStyle w:val="Default"/>
        <w:rPr>
          <w:sz w:val="16"/>
          <w:szCs w:val="16"/>
          <w:lang w:val="fr-BE"/>
        </w:rPr>
      </w:pPr>
    </w:p>
    <w:p w14:paraId="1FB9F345" w14:textId="77777777" w:rsidR="00AB18A6" w:rsidRPr="008C436F" w:rsidRDefault="00AB18A6" w:rsidP="00FA336B">
      <w:pPr>
        <w:pStyle w:val="Default"/>
        <w:rPr>
          <w:sz w:val="18"/>
          <w:szCs w:val="18"/>
          <w:lang w:val="fr-BE"/>
        </w:rPr>
      </w:pPr>
      <w:r w:rsidRPr="008C436F">
        <w:rPr>
          <w:sz w:val="18"/>
          <w:szCs w:val="18"/>
          <w:lang w:val="fr-BE"/>
        </w:rPr>
        <w:t xml:space="preserve">Le fait que la substance active puisse différer entre spécialités pharmaceutiques signifie qu’en cas de switch entre ces spécialités, certains patients peuvent présenter des réactions immunologiques accrues parce qu’ils développent des anticorps contre le nouveau produit. Dans ce contexte, la prescription en DCI est déconseillée pour les spécialités pharmaceutiques à base de glatiramère. </w:t>
      </w:r>
    </w:p>
    <w:p w14:paraId="3BB6652D" w14:textId="77777777" w:rsidR="00AB18A6" w:rsidRPr="008C436F" w:rsidRDefault="00AB18A6" w:rsidP="00FA336B">
      <w:pPr>
        <w:pStyle w:val="Default"/>
        <w:rPr>
          <w:sz w:val="16"/>
          <w:szCs w:val="16"/>
          <w:lang w:val="fr-BE"/>
        </w:rPr>
      </w:pPr>
    </w:p>
    <w:p w14:paraId="3A9BC5F2" w14:textId="77777777" w:rsidR="00751777" w:rsidRDefault="00AB18A6" w:rsidP="00FA336B">
      <w:pPr>
        <w:spacing w:after="0" w:line="240" w:lineRule="auto"/>
        <w:ind w:left="1560" w:hanging="851"/>
        <w:rPr>
          <w:rFonts w:ascii="Verdana" w:hAnsi="Verdana" w:cs="Verdana"/>
          <w:b/>
          <w:bCs/>
          <w:color w:val="000000"/>
          <w:sz w:val="18"/>
          <w:szCs w:val="18"/>
          <w:lang w:val="fr-BE"/>
        </w:rPr>
      </w:pPr>
      <w:r w:rsidRPr="00751777">
        <w:rPr>
          <w:rFonts w:ascii="Verdana" w:hAnsi="Verdana" w:cs="Verdana"/>
          <w:b/>
          <w:bCs/>
          <w:color w:val="000000"/>
          <w:sz w:val="18"/>
          <w:szCs w:val="18"/>
          <w:lang w:val="fr-BE"/>
        </w:rPr>
        <w:t>5.2.2</w:t>
      </w:r>
      <w:r w:rsidR="00751777">
        <w:rPr>
          <w:rFonts w:ascii="Verdana" w:hAnsi="Verdana" w:cs="Verdana"/>
          <w:b/>
          <w:bCs/>
          <w:color w:val="000000"/>
          <w:sz w:val="18"/>
          <w:szCs w:val="18"/>
          <w:lang w:val="fr-BE"/>
        </w:rPr>
        <w:tab/>
      </w:r>
      <w:r w:rsidRPr="00751777">
        <w:rPr>
          <w:rFonts w:ascii="Verdana" w:hAnsi="Verdana" w:cs="Verdana"/>
          <w:b/>
          <w:bCs/>
          <w:color w:val="000000"/>
          <w:sz w:val="18"/>
          <w:szCs w:val="18"/>
          <w:lang w:val="fr-BE"/>
        </w:rPr>
        <w:t>Les médicaments contenant plus de trois substances actives</w:t>
      </w:r>
    </w:p>
    <w:p w14:paraId="5F543148" w14:textId="20120CB0" w:rsidR="00AB18A6" w:rsidRDefault="00AB18A6" w:rsidP="00FA336B">
      <w:pPr>
        <w:spacing w:after="0" w:line="240" w:lineRule="auto"/>
        <w:rPr>
          <w:rFonts w:ascii="Verdana" w:hAnsi="Verdana" w:cs="Verdana"/>
          <w:color w:val="000000"/>
          <w:sz w:val="18"/>
          <w:szCs w:val="18"/>
          <w:lang w:val="fr-BE"/>
        </w:rPr>
      </w:pPr>
      <w:r w:rsidRPr="008C436F">
        <w:rPr>
          <w:rFonts w:ascii="Verdana" w:hAnsi="Verdana" w:cs="Verdana"/>
          <w:color w:val="000000"/>
          <w:sz w:val="18"/>
          <w:szCs w:val="18"/>
          <w:lang w:val="fr-BE"/>
        </w:rPr>
        <w:t>Pour des raisons pratiques, les médicaments contenant plus de trois substances actives ne sont pas retenus pour la prescription en DCI. Leur offre est limitée et cela concerne principalement des médicaments qui ne sont pas remboursables et qui peuvent également être obtenus sans prescription</w:t>
      </w:r>
      <w:r w:rsidR="00751777">
        <w:rPr>
          <w:rFonts w:ascii="Verdana" w:hAnsi="Verdana" w:cs="Verdana"/>
          <w:color w:val="000000"/>
          <w:sz w:val="18"/>
          <w:szCs w:val="18"/>
          <w:lang w:val="fr-BE"/>
        </w:rPr>
        <w:t>.</w:t>
      </w:r>
    </w:p>
    <w:p w14:paraId="6F7D7E06" w14:textId="77777777" w:rsidR="00751777" w:rsidRPr="008C436F" w:rsidRDefault="00751777" w:rsidP="00751777">
      <w:pPr>
        <w:spacing w:after="0" w:line="240" w:lineRule="auto"/>
        <w:rPr>
          <w:rFonts w:ascii="Verdana" w:hAnsi="Verdana" w:cs="Verdana"/>
          <w:color w:val="000000"/>
          <w:sz w:val="18"/>
          <w:szCs w:val="18"/>
          <w:lang w:val="fr-BE"/>
        </w:rPr>
      </w:pPr>
    </w:p>
    <w:p w14:paraId="3BF3915D" w14:textId="2C4AF1DB" w:rsidR="00AB18A6" w:rsidRPr="008C436F" w:rsidRDefault="00AB18A6" w:rsidP="00751777">
      <w:pPr>
        <w:pStyle w:val="Default"/>
        <w:ind w:left="1560" w:hanging="851"/>
        <w:rPr>
          <w:sz w:val="18"/>
          <w:szCs w:val="18"/>
          <w:lang w:val="fr-BE"/>
        </w:rPr>
      </w:pPr>
      <w:r w:rsidRPr="008C436F">
        <w:rPr>
          <w:b/>
          <w:bCs/>
          <w:sz w:val="18"/>
          <w:szCs w:val="18"/>
          <w:lang w:val="fr-BE"/>
        </w:rPr>
        <w:t>5.2.3</w:t>
      </w:r>
      <w:r w:rsidR="00751777">
        <w:rPr>
          <w:b/>
          <w:bCs/>
          <w:sz w:val="18"/>
          <w:szCs w:val="18"/>
          <w:lang w:val="fr-BE"/>
        </w:rPr>
        <w:tab/>
      </w:r>
      <w:r w:rsidRPr="008C436F">
        <w:rPr>
          <w:b/>
          <w:bCs/>
          <w:sz w:val="18"/>
          <w:szCs w:val="18"/>
          <w:lang w:val="fr-BE"/>
        </w:rPr>
        <w:t xml:space="preserve">Les pilules contraceptives multiphasiques </w:t>
      </w:r>
    </w:p>
    <w:p w14:paraId="027838DC" w14:textId="7B17F10A" w:rsidR="00AB18A6" w:rsidRPr="008C436F" w:rsidRDefault="00AB18A6" w:rsidP="008C436F">
      <w:pPr>
        <w:pStyle w:val="Default"/>
        <w:rPr>
          <w:sz w:val="18"/>
          <w:szCs w:val="18"/>
          <w:lang w:val="fr-BE"/>
        </w:rPr>
      </w:pPr>
      <w:r w:rsidRPr="008C436F">
        <w:rPr>
          <w:sz w:val="18"/>
          <w:szCs w:val="18"/>
          <w:lang w:val="fr-BE"/>
        </w:rPr>
        <w:t xml:space="preserve">Pour les pilules contraceptives multiphasiques, la prescription en DCI est déconseillée pour des raisons pratiques, vu la complexité du conditionnement. </w:t>
      </w:r>
    </w:p>
    <w:p w14:paraId="592A002D" w14:textId="2C4C1E68" w:rsidR="00AB18A6" w:rsidRDefault="00AB18A6" w:rsidP="008C436F">
      <w:pPr>
        <w:pStyle w:val="Default"/>
        <w:rPr>
          <w:sz w:val="18"/>
          <w:szCs w:val="18"/>
          <w:lang w:val="fr-BE"/>
        </w:rPr>
      </w:pPr>
    </w:p>
    <w:p w14:paraId="7F373FAA" w14:textId="05924C54" w:rsidR="00AF04F2" w:rsidRDefault="00AF04F2" w:rsidP="008C436F">
      <w:pPr>
        <w:pStyle w:val="Default"/>
        <w:rPr>
          <w:sz w:val="18"/>
          <w:szCs w:val="18"/>
          <w:lang w:val="fr-BE"/>
        </w:rPr>
      </w:pPr>
    </w:p>
    <w:p w14:paraId="7159FC2B" w14:textId="6D230620" w:rsidR="00AB18A6" w:rsidRPr="008C436F" w:rsidRDefault="00AB18A6" w:rsidP="00B30323">
      <w:pPr>
        <w:pStyle w:val="Default"/>
        <w:numPr>
          <w:ilvl w:val="0"/>
          <w:numId w:val="1"/>
        </w:numPr>
        <w:ind w:left="426" w:hanging="426"/>
        <w:rPr>
          <w:b/>
          <w:bCs/>
          <w:color w:val="5B9BD3"/>
          <w:sz w:val="22"/>
          <w:szCs w:val="18"/>
          <w:lang w:val="fr-BE"/>
        </w:rPr>
      </w:pPr>
      <w:r w:rsidRPr="008C436F">
        <w:rPr>
          <w:b/>
          <w:bCs/>
          <w:color w:val="5B9BD3"/>
          <w:sz w:val="22"/>
          <w:szCs w:val="18"/>
          <w:lang w:val="fr-BE"/>
        </w:rPr>
        <w:t xml:space="preserve">Cas particuliers des stupéfiants et assimilés (DCI+) </w:t>
      </w:r>
    </w:p>
    <w:p w14:paraId="446AF3C8"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Les stupéfiants et psychotropes reçoivent la mention DCI+ pour attirer l'attention sur les problèmes spécifiques qui peuvent se produire lors de la prescription de ces médicaments en dénomination commune internationale. </w:t>
      </w:r>
    </w:p>
    <w:p w14:paraId="56171CB7"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p>
    <w:p w14:paraId="4FB5893F"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Une prescription en DCI valable limite le prescripteur à une durée de traitement de trois mois au maximum (période maximale de 92 jours). </w:t>
      </w:r>
    </w:p>
    <w:p w14:paraId="025F1DE4"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p>
    <w:p w14:paraId="160A6BCD" w14:textId="7B2F52FA" w:rsidR="00AB18A6"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L'article 126 de </w:t>
      </w:r>
      <w:hyperlink r:id="rId8" w:history="1">
        <w:r w:rsidRPr="00AF04F2">
          <w:rPr>
            <w:rStyle w:val="Hyperlink"/>
            <w:rFonts w:ascii="Verdana" w:eastAsia="Calibri" w:hAnsi="Verdana" w:cs="Verdana"/>
            <w:sz w:val="18"/>
            <w:szCs w:val="18"/>
            <w:lang w:val="fr-BE"/>
          </w:rPr>
          <w:t xml:space="preserve">l'arrêté royal du 1er février 2018 </w:t>
        </w:r>
        <w:r w:rsidR="00AF04F2" w:rsidRPr="00AF04F2">
          <w:rPr>
            <w:rStyle w:val="Hyperlink"/>
            <w:rFonts w:ascii="Verdana" w:eastAsia="Calibri" w:hAnsi="Verdana" w:cs="Verdana"/>
            <w:sz w:val="18"/>
            <w:szCs w:val="18"/>
            <w:lang w:val="fr-BE"/>
          </w:rPr>
          <w:t>fixant les procédures, délais et conditions en matière d'intervention de l'assurance obligatoire soins de santé et indemnités dans le coût des spécialités pharmaceutiques</w:t>
        </w:r>
      </w:hyperlink>
      <w:r w:rsidR="00AF04F2">
        <w:rPr>
          <w:rFonts w:ascii="Verdana" w:eastAsia="Calibri" w:hAnsi="Verdana" w:cs="Verdana"/>
          <w:color w:val="000000"/>
          <w:sz w:val="18"/>
          <w:szCs w:val="18"/>
          <w:lang w:val="fr-BE"/>
        </w:rPr>
        <w:t xml:space="preserve"> </w:t>
      </w:r>
      <w:r w:rsidRPr="008C436F">
        <w:rPr>
          <w:rFonts w:ascii="Verdana" w:eastAsia="Calibri" w:hAnsi="Verdana" w:cs="Verdana"/>
          <w:color w:val="000000"/>
          <w:sz w:val="18"/>
          <w:szCs w:val="18"/>
          <w:lang w:val="fr-BE"/>
        </w:rPr>
        <w:t>prévoit qu'</w:t>
      </w:r>
      <w:r w:rsidRPr="008C436F">
        <w:rPr>
          <w:rFonts w:ascii="Verdana" w:eastAsia="Calibri" w:hAnsi="Verdana" w:cs="Verdana"/>
          <w:b/>
          <w:bCs/>
          <w:color w:val="000000"/>
          <w:sz w:val="18"/>
          <w:szCs w:val="18"/>
          <w:lang w:val="fr-BE"/>
        </w:rPr>
        <w:t>à l’exception notamment des stupéfiants et assimilés</w:t>
      </w:r>
      <w:r w:rsidRPr="008C436F">
        <w:rPr>
          <w:rFonts w:ascii="Verdana" w:eastAsia="Calibri" w:hAnsi="Verdana" w:cs="Verdana"/>
          <w:b/>
          <w:bCs/>
          <w:color w:val="000000"/>
          <w:sz w:val="18"/>
          <w:szCs w:val="18"/>
          <w:vertAlign w:val="superscript"/>
          <w:lang w:val="fr-BE"/>
        </w:rPr>
        <w:footnoteReference w:id="1"/>
      </w:r>
      <w:r w:rsidRPr="008C436F">
        <w:rPr>
          <w:rFonts w:ascii="Verdana" w:eastAsia="Calibri" w:hAnsi="Verdana" w:cs="Verdana"/>
          <w:color w:val="000000"/>
          <w:sz w:val="18"/>
          <w:szCs w:val="18"/>
          <w:lang w:val="fr-BE"/>
        </w:rPr>
        <w:t>, le pharmacien peut délivrer une spécialité appartenant au groupe de conditionnements regroupés comme suit :</w:t>
      </w:r>
    </w:p>
    <w:p w14:paraId="0756E86E" w14:textId="77777777" w:rsidR="002A49E2" w:rsidRPr="008C436F" w:rsidRDefault="002A49E2" w:rsidP="008C436F">
      <w:pPr>
        <w:autoSpaceDE w:val="0"/>
        <w:autoSpaceDN w:val="0"/>
        <w:adjustRightInd w:val="0"/>
        <w:spacing w:after="0" w:line="240" w:lineRule="auto"/>
        <w:rPr>
          <w:rFonts w:ascii="Verdana" w:eastAsia="Calibri" w:hAnsi="Verdana" w:cs="Verdana"/>
          <w:color w:val="000000"/>
          <w:sz w:val="18"/>
          <w:szCs w:val="18"/>
          <w:lang w:val="fr-BE"/>
        </w:rPr>
      </w:pPr>
    </w:p>
    <w:p w14:paraId="28D66541"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 28-30 unités, </w:t>
      </w:r>
    </w:p>
    <w:p w14:paraId="43F7278F"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 31-60 unités, </w:t>
      </w:r>
    </w:p>
    <w:p w14:paraId="7BB57495"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 61-90 unités, </w:t>
      </w:r>
    </w:p>
    <w:p w14:paraId="7B467DF3"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 91-120 unités. </w:t>
      </w:r>
    </w:p>
    <w:p w14:paraId="5A5ABD00"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p>
    <w:p w14:paraId="66118E3A"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En effet, vu la nature des substances stupéfiantes (et assimilées) et le risque de dépendance/d'abus, il n’est pas souhaitable que le patient reçoive plus d'unités que le nombre strictement nécessaire pour son traitement ou jusqu'au moment de la prochaine consultation du médecin qui assure son suivi. En conséquence, l’objectif de la prescription en DCI, qui est de prescrire un médicament moins cher sans devoir tenir compte des tailles de conditionnements, n'est pas réalisable dans les faits. À proprement parler toutefois, une prescription en DCI pour ce type de médicaments n'est pas interdite.</w:t>
      </w:r>
    </w:p>
    <w:p w14:paraId="4A8A301F"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p>
    <w:p w14:paraId="4EB5E0D3" w14:textId="77777777" w:rsidR="00AF04F2" w:rsidRDefault="00AF04F2">
      <w:pPr>
        <w:rPr>
          <w:rFonts w:ascii="Verdana" w:eastAsia="Calibri" w:hAnsi="Verdana" w:cs="Verdana"/>
          <w:b/>
          <w:bCs/>
          <w:color w:val="000000"/>
          <w:sz w:val="18"/>
          <w:szCs w:val="18"/>
          <w:lang w:val="fr-BE"/>
        </w:rPr>
      </w:pPr>
      <w:r>
        <w:rPr>
          <w:rFonts w:ascii="Verdana" w:eastAsia="Calibri" w:hAnsi="Verdana" w:cs="Verdana"/>
          <w:b/>
          <w:bCs/>
          <w:color w:val="000000"/>
          <w:sz w:val="18"/>
          <w:szCs w:val="18"/>
          <w:lang w:val="fr-BE"/>
        </w:rPr>
        <w:br w:type="page"/>
      </w:r>
    </w:p>
    <w:p w14:paraId="3264E210" w14:textId="618F3A21" w:rsidR="00AB18A6" w:rsidRPr="002A49E2" w:rsidRDefault="00AB18A6" w:rsidP="008C436F">
      <w:pPr>
        <w:autoSpaceDE w:val="0"/>
        <w:autoSpaceDN w:val="0"/>
        <w:adjustRightInd w:val="0"/>
        <w:spacing w:after="0" w:line="240" w:lineRule="auto"/>
        <w:rPr>
          <w:rFonts w:ascii="Verdana" w:eastAsia="Calibri" w:hAnsi="Verdana" w:cs="Verdana"/>
          <w:b/>
          <w:bCs/>
          <w:color w:val="000000"/>
          <w:sz w:val="18"/>
          <w:szCs w:val="18"/>
          <w:lang w:val="fr-BE"/>
        </w:rPr>
      </w:pPr>
      <w:r w:rsidRPr="002A49E2">
        <w:rPr>
          <w:rFonts w:ascii="Verdana" w:eastAsia="Calibri" w:hAnsi="Verdana" w:cs="Verdana"/>
          <w:b/>
          <w:bCs/>
          <w:color w:val="000000"/>
          <w:sz w:val="18"/>
          <w:szCs w:val="18"/>
          <w:lang w:val="fr-BE"/>
        </w:rPr>
        <w:lastRenderedPageBreak/>
        <w:t>Exemples </w:t>
      </w:r>
    </w:p>
    <w:p w14:paraId="5E248150"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Le médecin prescrit la thérapie suivante.</w:t>
      </w:r>
    </w:p>
    <w:p w14:paraId="3FDC96B8" w14:textId="43747029"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Méthylphénidate 10 mg, </w:t>
      </w:r>
      <w:r w:rsidR="002A49E2">
        <w:rPr>
          <w:rFonts w:ascii="Verdana" w:eastAsia="Calibri" w:hAnsi="Verdana" w:cs="Verdana"/>
          <w:color w:val="000000"/>
          <w:sz w:val="18"/>
          <w:szCs w:val="18"/>
          <w:lang w:val="fr-BE"/>
        </w:rPr>
        <w:t>3</w:t>
      </w:r>
      <w:r w:rsidRPr="008C436F">
        <w:rPr>
          <w:rFonts w:ascii="Verdana" w:eastAsia="Calibri" w:hAnsi="Verdana" w:cs="Verdana"/>
          <w:color w:val="000000"/>
          <w:sz w:val="18"/>
          <w:szCs w:val="18"/>
          <w:lang w:val="fr-BE"/>
        </w:rPr>
        <w:t xml:space="preserve"> fois </w:t>
      </w:r>
      <w:r w:rsidR="002A49E2">
        <w:rPr>
          <w:rFonts w:ascii="Verdana" w:eastAsia="Calibri" w:hAnsi="Verdana" w:cs="Verdana"/>
          <w:color w:val="000000"/>
          <w:sz w:val="18"/>
          <w:szCs w:val="18"/>
          <w:lang w:val="fr-BE"/>
        </w:rPr>
        <w:t>1</w:t>
      </w:r>
      <w:r w:rsidRPr="008C436F">
        <w:rPr>
          <w:rFonts w:ascii="Verdana" w:eastAsia="Calibri" w:hAnsi="Verdana" w:cs="Verdana"/>
          <w:color w:val="000000"/>
          <w:sz w:val="18"/>
          <w:szCs w:val="18"/>
          <w:lang w:val="fr-BE"/>
        </w:rPr>
        <w:t xml:space="preserve"> comprimé par jour pendant </w:t>
      </w:r>
      <w:r w:rsidR="002A49E2">
        <w:rPr>
          <w:rFonts w:ascii="Verdana" w:eastAsia="Calibri" w:hAnsi="Verdana" w:cs="Verdana"/>
          <w:color w:val="000000"/>
          <w:sz w:val="18"/>
          <w:szCs w:val="18"/>
          <w:lang w:val="fr-BE"/>
        </w:rPr>
        <w:t>3</w:t>
      </w:r>
      <w:r w:rsidRPr="008C436F">
        <w:rPr>
          <w:rFonts w:ascii="Verdana" w:eastAsia="Calibri" w:hAnsi="Verdana" w:cs="Verdana"/>
          <w:color w:val="000000"/>
          <w:sz w:val="18"/>
          <w:szCs w:val="18"/>
          <w:lang w:val="fr-BE"/>
        </w:rPr>
        <w:t xml:space="preserve"> mois.</w:t>
      </w:r>
    </w:p>
    <w:p w14:paraId="0C8EEE5C" w14:textId="77777777"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Maximum 92 jours x 3 comprimés/jour = maximum 276 comprimés. </w:t>
      </w:r>
    </w:p>
    <w:p w14:paraId="625AE6E8" w14:textId="64FFB1BB"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Il existe une seule taille de conditionnement de 20 comprimés </w:t>
      </w:r>
      <w:r w:rsidRPr="008C436F">
        <w:rPr>
          <w:rFonts w:ascii="Verdana" w:eastAsia="Wingdings" w:hAnsi="Verdana" w:cs="Wingdings"/>
          <w:color w:val="000000"/>
          <w:sz w:val="18"/>
          <w:szCs w:val="18"/>
          <w:lang w:val="fr-BE"/>
        </w:rPr>
        <w:t>à</w:t>
      </w:r>
      <w:r w:rsidRPr="008C436F">
        <w:rPr>
          <w:rFonts w:ascii="Verdana" w:eastAsia="Calibri" w:hAnsi="Verdana" w:cs="Verdana"/>
          <w:color w:val="000000"/>
          <w:sz w:val="18"/>
          <w:szCs w:val="18"/>
          <w:lang w:val="fr-BE"/>
        </w:rPr>
        <w:t xml:space="preserve"> 276/20 = 13,8.</w:t>
      </w:r>
    </w:p>
    <w:p w14:paraId="545947EB" w14:textId="77777777"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Le pharmacien n'est pas autorisé à délivrer 14 conditionnements, mais seulement 13.</w:t>
      </w:r>
    </w:p>
    <w:p w14:paraId="0028E2F5" w14:textId="77777777"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Il n'est pas obligatoire non plus de les délivrer en une seule fois, il est possible de recourir à des délivrances différées. </w:t>
      </w:r>
    </w:p>
    <w:p w14:paraId="3B9789A6" w14:textId="77777777" w:rsidR="00AB18A6" w:rsidRPr="008C436F" w:rsidRDefault="00AB18A6" w:rsidP="008C436F">
      <w:pPr>
        <w:autoSpaceDE w:val="0"/>
        <w:autoSpaceDN w:val="0"/>
        <w:adjustRightInd w:val="0"/>
        <w:spacing w:after="0" w:line="240" w:lineRule="auto"/>
        <w:rPr>
          <w:rFonts w:ascii="Verdana" w:eastAsia="Calibri" w:hAnsi="Verdana" w:cs="Verdana"/>
          <w:color w:val="000000"/>
          <w:sz w:val="18"/>
          <w:szCs w:val="18"/>
          <w:lang w:val="fr-BE"/>
        </w:rPr>
      </w:pPr>
    </w:p>
    <w:p w14:paraId="3F888B6F" w14:textId="77777777"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(Recip-e) Oxycodone à libération prolongée 10 mg, 1 comprimé </w:t>
      </w:r>
      <w:bookmarkStart w:id="0" w:name="_Int_A04a0c9V"/>
      <w:r w:rsidRPr="008C436F">
        <w:rPr>
          <w:rFonts w:ascii="Verdana" w:eastAsia="Calibri" w:hAnsi="Verdana" w:cs="Verdana"/>
          <w:color w:val="000000"/>
          <w:sz w:val="18"/>
          <w:szCs w:val="18"/>
          <w:lang w:val="fr-BE"/>
        </w:rPr>
        <w:t>le matin</w:t>
      </w:r>
      <w:bookmarkEnd w:id="0"/>
      <w:r w:rsidRPr="008C436F">
        <w:rPr>
          <w:rFonts w:ascii="Verdana" w:eastAsia="Calibri" w:hAnsi="Verdana" w:cs="Verdana"/>
          <w:color w:val="000000"/>
          <w:sz w:val="18"/>
          <w:szCs w:val="18"/>
          <w:lang w:val="fr-BE"/>
        </w:rPr>
        <w:t>, pendant trois mois.</w:t>
      </w:r>
    </w:p>
    <w:p w14:paraId="7459F94A" w14:textId="77777777"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Maximum 92 jours x 1 comprimé/jour = maximum 92 comprimés.</w:t>
      </w:r>
    </w:p>
    <w:p w14:paraId="3ABD6F2A" w14:textId="77777777"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 xml:space="preserve">Dans ce cas, il est possible de délivrer une boîte de 30 comprimés et une de 60 comprimés. </w:t>
      </w:r>
    </w:p>
    <w:p w14:paraId="105E6BA9" w14:textId="77777777" w:rsidR="00AB18A6" w:rsidRPr="008C436F" w:rsidRDefault="00AB18A6" w:rsidP="002A49E2">
      <w:pPr>
        <w:autoSpaceDE w:val="0"/>
        <w:autoSpaceDN w:val="0"/>
        <w:adjustRightInd w:val="0"/>
        <w:spacing w:after="0" w:line="240" w:lineRule="auto"/>
        <w:ind w:left="709"/>
        <w:rPr>
          <w:rFonts w:ascii="Verdana" w:eastAsia="Calibri" w:hAnsi="Verdana" w:cs="Verdana"/>
          <w:color w:val="000000"/>
          <w:sz w:val="18"/>
          <w:szCs w:val="18"/>
          <w:lang w:val="fr-BE"/>
        </w:rPr>
      </w:pPr>
      <w:r w:rsidRPr="008C436F">
        <w:rPr>
          <w:rFonts w:ascii="Verdana" w:eastAsia="Calibri" w:hAnsi="Verdana" w:cs="Verdana"/>
          <w:color w:val="000000"/>
          <w:sz w:val="18"/>
          <w:szCs w:val="18"/>
          <w:lang w:val="fr-BE"/>
        </w:rPr>
        <w:t>Pour d'autres substances que des stupéfiants et assimilés, il serait toutefois possible dans ce cas de délivrer une boîte de 100 ou 120 comprimés.</w:t>
      </w:r>
    </w:p>
    <w:p w14:paraId="3357DF53" w14:textId="77777777" w:rsidR="00AB18A6" w:rsidRPr="008C436F" w:rsidRDefault="00AB18A6" w:rsidP="008C436F">
      <w:pPr>
        <w:spacing w:after="0" w:line="240" w:lineRule="auto"/>
        <w:rPr>
          <w:rFonts w:ascii="Verdana" w:hAnsi="Verdana"/>
          <w:sz w:val="18"/>
          <w:szCs w:val="18"/>
          <w:lang w:val="fr-BE"/>
        </w:rPr>
      </w:pPr>
    </w:p>
    <w:p w14:paraId="4D1F3C82" w14:textId="77777777" w:rsidR="00AB18A6" w:rsidRPr="008C436F" w:rsidRDefault="00AB18A6" w:rsidP="008C436F">
      <w:pPr>
        <w:spacing w:after="0" w:line="240" w:lineRule="auto"/>
        <w:rPr>
          <w:rFonts w:ascii="Verdana" w:hAnsi="Verdana"/>
          <w:sz w:val="18"/>
          <w:szCs w:val="18"/>
          <w:lang w:val="fr-BE"/>
        </w:rPr>
      </w:pPr>
    </w:p>
    <w:p w14:paraId="42611A66" w14:textId="3251E357" w:rsidR="00AB18A6" w:rsidRPr="008C436F" w:rsidRDefault="00AB18A6" w:rsidP="00A23ECA">
      <w:pPr>
        <w:pStyle w:val="Default"/>
        <w:numPr>
          <w:ilvl w:val="0"/>
          <w:numId w:val="1"/>
        </w:numPr>
        <w:ind w:left="426" w:hanging="426"/>
        <w:rPr>
          <w:b/>
          <w:bCs/>
          <w:color w:val="5B9BD3"/>
          <w:sz w:val="22"/>
          <w:szCs w:val="18"/>
          <w:lang w:val="fr-BE"/>
        </w:rPr>
      </w:pPr>
      <w:r w:rsidRPr="008C436F">
        <w:rPr>
          <w:b/>
          <w:bCs/>
          <w:color w:val="5B9BD3"/>
          <w:sz w:val="22"/>
          <w:szCs w:val="18"/>
          <w:lang w:val="fr-BE"/>
        </w:rPr>
        <w:t xml:space="preserve">Groupes de médicaments pour lesquels il est préférable que le choix initial soit maintenu (NO SWITCH) </w:t>
      </w:r>
    </w:p>
    <w:p w14:paraId="3D8D598D" w14:textId="77777777" w:rsidR="00B24251" w:rsidRDefault="00AB18A6" w:rsidP="008C436F">
      <w:pPr>
        <w:pStyle w:val="Default"/>
        <w:rPr>
          <w:sz w:val="18"/>
          <w:szCs w:val="18"/>
          <w:lang w:val="fr-BE"/>
        </w:rPr>
      </w:pPr>
      <w:r w:rsidRPr="008C436F">
        <w:rPr>
          <w:sz w:val="18"/>
          <w:szCs w:val="18"/>
          <w:lang w:val="fr-BE"/>
        </w:rPr>
        <w:t>Lors du passage ou switch d’un médicament à un autre, le médecin et aussi le pharmacien en tant que dispensateur de soins pharmaceutiques, jouent un rôle central d’information et de suivi du patient pour promouvoir l’observance du traitement.</w:t>
      </w:r>
    </w:p>
    <w:p w14:paraId="18EBB562" w14:textId="77777777" w:rsidR="00B24251" w:rsidRDefault="00B24251" w:rsidP="008C436F">
      <w:pPr>
        <w:pStyle w:val="Default"/>
        <w:rPr>
          <w:sz w:val="18"/>
          <w:szCs w:val="18"/>
          <w:lang w:val="fr-BE"/>
        </w:rPr>
      </w:pPr>
    </w:p>
    <w:p w14:paraId="5AA344BC" w14:textId="259A2248" w:rsidR="00AB18A6" w:rsidRPr="008C436F" w:rsidRDefault="00AB18A6" w:rsidP="008C436F">
      <w:pPr>
        <w:pStyle w:val="Default"/>
        <w:rPr>
          <w:sz w:val="18"/>
          <w:szCs w:val="18"/>
          <w:lang w:val="fr-BE"/>
        </w:rPr>
      </w:pPr>
      <w:r w:rsidRPr="008C436F">
        <w:rPr>
          <w:sz w:val="18"/>
          <w:szCs w:val="18"/>
          <w:lang w:val="fr-BE"/>
        </w:rPr>
        <w:t xml:space="preserve">Une information correcte et l’accompagnement par le médecin et/ou le pharmacien aident le patient à s’adapter à la nouvelle situation. </w:t>
      </w:r>
    </w:p>
    <w:p w14:paraId="4490CB38" w14:textId="77777777" w:rsidR="00AB18A6" w:rsidRPr="008C436F" w:rsidRDefault="00AB18A6" w:rsidP="008C436F">
      <w:pPr>
        <w:pStyle w:val="Default"/>
        <w:rPr>
          <w:sz w:val="18"/>
          <w:szCs w:val="18"/>
          <w:lang w:val="fr-BE"/>
        </w:rPr>
      </w:pPr>
    </w:p>
    <w:p w14:paraId="01D104E8" w14:textId="77777777" w:rsidR="00AB18A6" w:rsidRPr="008C436F" w:rsidRDefault="00AB18A6" w:rsidP="008C436F">
      <w:pPr>
        <w:pStyle w:val="Default"/>
        <w:rPr>
          <w:sz w:val="18"/>
          <w:szCs w:val="18"/>
          <w:lang w:val="fr-BE"/>
        </w:rPr>
      </w:pPr>
      <w:r w:rsidRPr="008C436F">
        <w:rPr>
          <w:sz w:val="18"/>
          <w:szCs w:val="18"/>
          <w:lang w:val="fr-BE"/>
        </w:rPr>
        <w:t xml:space="preserve">Dans le cadre de la prescription en DCI et de l’établissement de groupes, il est proposé de définir plusieurs groupes de médicaments comme médicaments NO SWITCH, c’est-à-dire qu’il est déconseillé de passer d’une spécialité à une autre en cours de traitement, que ce soit entre médicaments originaux, d’un générique à un original, d’un original à un générique ou entre médicaments génériques. </w:t>
      </w:r>
    </w:p>
    <w:p w14:paraId="4AB5D86D" w14:textId="77777777" w:rsidR="00AB18A6" w:rsidRPr="008C436F" w:rsidRDefault="00AB18A6" w:rsidP="008C436F">
      <w:pPr>
        <w:pStyle w:val="Default"/>
        <w:rPr>
          <w:sz w:val="18"/>
          <w:szCs w:val="18"/>
          <w:lang w:val="fr-BE"/>
        </w:rPr>
      </w:pPr>
    </w:p>
    <w:p w14:paraId="3D3CA484" w14:textId="77777777" w:rsidR="00AB18A6" w:rsidRPr="008C436F" w:rsidRDefault="00AB18A6" w:rsidP="008C436F">
      <w:pPr>
        <w:pStyle w:val="Default"/>
        <w:rPr>
          <w:sz w:val="18"/>
          <w:szCs w:val="18"/>
          <w:lang w:val="fr-BE"/>
        </w:rPr>
      </w:pPr>
      <w:r w:rsidRPr="008C436F">
        <w:rPr>
          <w:sz w:val="18"/>
          <w:szCs w:val="18"/>
          <w:lang w:val="fr-BE"/>
        </w:rPr>
        <w:t xml:space="preserve">Cette approche est proposée pour les médicaments ayant une marge thérapeutique-toxique étroite et pour quelques autres groupes de médicaments (voir plus loin). En d’autres termes, pour ces groupes de médicaments, dès qu’un traitement est entamé avec une spécialité, il est conseillé de poursuivre le traitement avec la même spécialité pour tout l’épisode de traitement. Cette approche est inspirée par le principe de précaution, même si pour la plupart de ces médicaments, aucun problème n'a été communiqué. </w:t>
      </w:r>
    </w:p>
    <w:p w14:paraId="5A804168" w14:textId="77777777" w:rsidR="00AB18A6" w:rsidRPr="008C436F" w:rsidRDefault="00AB18A6" w:rsidP="008C436F">
      <w:pPr>
        <w:pStyle w:val="Default"/>
        <w:rPr>
          <w:sz w:val="18"/>
          <w:szCs w:val="18"/>
          <w:lang w:val="fr-BE"/>
        </w:rPr>
      </w:pPr>
    </w:p>
    <w:p w14:paraId="055A0A60" w14:textId="3696D3AC" w:rsidR="00AB18A6" w:rsidRPr="008C436F" w:rsidRDefault="00AB18A6" w:rsidP="008C436F">
      <w:pPr>
        <w:pStyle w:val="Default"/>
        <w:rPr>
          <w:sz w:val="18"/>
          <w:szCs w:val="18"/>
          <w:lang w:val="fr-BE"/>
        </w:rPr>
      </w:pPr>
      <w:r w:rsidRPr="008C436F">
        <w:rPr>
          <w:sz w:val="18"/>
          <w:szCs w:val="18"/>
          <w:lang w:val="fr-BE"/>
        </w:rPr>
        <w:t>Si un switch doit malgré tout avoir lieu en cours de traitement pour les médicaments de ces groupes, ce switch doit être réalisé avec prudence et en accord avec le médecin. Dans le cas d’un patient hospitalisé, ce switch doit être fait en accord avec le Comité Médico-pharmaceutique (CMP)</w:t>
      </w:r>
      <w:r w:rsidR="005229F9">
        <w:rPr>
          <w:sz w:val="18"/>
          <w:szCs w:val="18"/>
          <w:lang w:val="fr-BE"/>
        </w:rPr>
        <w:t xml:space="preserve"> de l’hôpital</w:t>
      </w:r>
      <w:r w:rsidRPr="008C436F">
        <w:rPr>
          <w:sz w:val="18"/>
          <w:szCs w:val="18"/>
          <w:lang w:val="fr-BE"/>
        </w:rPr>
        <w:t xml:space="preserve">. </w:t>
      </w:r>
    </w:p>
    <w:p w14:paraId="6A4CC550" w14:textId="77777777" w:rsidR="00AB18A6" w:rsidRPr="008C436F" w:rsidRDefault="00AB18A6" w:rsidP="008C436F">
      <w:pPr>
        <w:pStyle w:val="Default"/>
        <w:rPr>
          <w:sz w:val="18"/>
          <w:szCs w:val="18"/>
          <w:lang w:val="fr-BE"/>
        </w:rPr>
      </w:pPr>
    </w:p>
    <w:p w14:paraId="42E74C9F" w14:textId="4CB178C4" w:rsidR="00AB18A6" w:rsidRPr="008C436F" w:rsidRDefault="00AB18A6" w:rsidP="008C436F">
      <w:pPr>
        <w:pStyle w:val="Default"/>
        <w:rPr>
          <w:b/>
          <w:bCs/>
          <w:sz w:val="18"/>
          <w:szCs w:val="18"/>
          <w:lang w:val="fr-BE"/>
        </w:rPr>
      </w:pPr>
      <w:r w:rsidRPr="008C436F">
        <w:rPr>
          <w:b/>
          <w:bCs/>
          <w:sz w:val="18"/>
          <w:szCs w:val="18"/>
          <w:lang w:val="fr-BE"/>
        </w:rPr>
        <w:t>7.1</w:t>
      </w:r>
      <w:r w:rsidR="00534DA4">
        <w:rPr>
          <w:b/>
          <w:bCs/>
          <w:sz w:val="18"/>
          <w:szCs w:val="18"/>
          <w:lang w:val="fr-BE"/>
        </w:rPr>
        <w:tab/>
      </w:r>
      <w:r w:rsidRPr="008C436F">
        <w:rPr>
          <w:b/>
          <w:bCs/>
          <w:sz w:val="18"/>
          <w:szCs w:val="18"/>
          <w:lang w:val="fr-BE"/>
        </w:rPr>
        <w:t xml:space="preserve">Médicaments à marge thérapeutique-toxique étroite et/ou à dose critique </w:t>
      </w:r>
    </w:p>
    <w:p w14:paraId="6A149102" w14:textId="03431F3E" w:rsidR="00AB18A6" w:rsidRPr="008C436F" w:rsidRDefault="00AB18A6" w:rsidP="00534DA4">
      <w:pPr>
        <w:pStyle w:val="Default"/>
        <w:ind w:firstLine="720"/>
        <w:rPr>
          <w:sz w:val="18"/>
          <w:szCs w:val="18"/>
          <w:lang w:val="fr-BE"/>
        </w:rPr>
      </w:pPr>
      <w:r w:rsidRPr="008C436F">
        <w:rPr>
          <w:b/>
          <w:bCs/>
          <w:sz w:val="18"/>
          <w:szCs w:val="18"/>
          <w:lang w:val="fr-BE"/>
        </w:rPr>
        <w:t>7.1.1</w:t>
      </w:r>
      <w:r w:rsidR="00534DA4">
        <w:rPr>
          <w:b/>
          <w:bCs/>
          <w:sz w:val="18"/>
          <w:szCs w:val="18"/>
          <w:lang w:val="fr-BE"/>
        </w:rPr>
        <w:tab/>
      </w:r>
      <w:r w:rsidRPr="008C436F">
        <w:rPr>
          <w:b/>
          <w:bCs/>
          <w:sz w:val="18"/>
          <w:szCs w:val="18"/>
          <w:lang w:val="fr-BE"/>
        </w:rPr>
        <w:t xml:space="preserve">Définitions </w:t>
      </w:r>
    </w:p>
    <w:p w14:paraId="320BEF24" w14:textId="77777777" w:rsidR="00AB18A6" w:rsidRPr="008C436F" w:rsidRDefault="00AB18A6" w:rsidP="008C436F">
      <w:pPr>
        <w:pStyle w:val="Default"/>
        <w:ind w:right="142"/>
        <w:rPr>
          <w:sz w:val="18"/>
          <w:szCs w:val="18"/>
          <w:lang w:val="fr-BE"/>
        </w:rPr>
      </w:pPr>
      <w:r w:rsidRPr="008C436F">
        <w:rPr>
          <w:sz w:val="18"/>
          <w:szCs w:val="18"/>
          <w:lang w:val="fr-BE"/>
        </w:rPr>
        <w:t xml:space="preserve">Le projet Groupes DCI est basé entre autres sur les données relatives à la pharmacovigilance de ces molécules et sur les définitions et informations issues des autorités européennes, canadiennes et américaines compétentes en matière de médicaments. </w:t>
      </w:r>
    </w:p>
    <w:p w14:paraId="0EE203C2" w14:textId="77777777" w:rsidR="00AB18A6" w:rsidRPr="008C436F" w:rsidRDefault="00AB18A6" w:rsidP="008C436F">
      <w:pPr>
        <w:pStyle w:val="Default"/>
        <w:rPr>
          <w:sz w:val="18"/>
          <w:szCs w:val="18"/>
          <w:lang w:val="fr-BE"/>
        </w:rPr>
      </w:pPr>
    </w:p>
    <w:p w14:paraId="0FB6EE7D" w14:textId="77777777" w:rsidR="00AB18A6" w:rsidRPr="008C436F" w:rsidRDefault="00AB18A6" w:rsidP="008C436F">
      <w:pPr>
        <w:pStyle w:val="Default"/>
        <w:ind w:right="142"/>
        <w:rPr>
          <w:sz w:val="18"/>
          <w:szCs w:val="18"/>
          <w:lang w:val="fr-BE"/>
        </w:rPr>
      </w:pPr>
      <w:r w:rsidRPr="008C436F">
        <w:rPr>
          <w:sz w:val="18"/>
          <w:szCs w:val="18"/>
          <w:lang w:val="fr-BE"/>
        </w:rPr>
        <w:t xml:space="preserve">Au sein de l’Union européenne, il n’existe pas de définition officielle d’un médicament à marge thérapeutique-toxique étroite. Voici toutefois l’information mentionnée dans la dernière directive européenne </w:t>
      </w:r>
      <w:r w:rsidRPr="008C436F">
        <w:rPr>
          <w:color w:val="0000FF"/>
          <w:sz w:val="18"/>
          <w:szCs w:val="18"/>
          <w:lang w:val="fr-BE"/>
        </w:rPr>
        <w:t xml:space="preserve">Guideline on the Investigation of Bioequivalence, EMA, janvier 2010 </w:t>
      </w:r>
      <w:r w:rsidRPr="008C436F">
        <w:rPr>
          <w:sz w:val="18"/>
          <w:szCs w:val="18"/>
          <w:lang w:val="fr-BE"/>
        </w:rPr>
        <w:t xml:space="preserve">: </w:t>
      </w:r>
    </w:p>
    <w:p w14:paraId="77E7F00C" w14:textId="77777777" w:rsidR="00AB18A6" w:rsidRPr="008C436F" w:rsidRDefault="00AB18A6" w:rsidP="008C436F">
      <w:pPr>
        <w:pStyle w:val="Default"/>
        <w:ind w:left="720" w:right="142"/>
        <w:rPr>
          <w:sz w:val="18"/>
          <w:szCs w:val="18"/>
          <w:lang w:val="fr-BE"/>
        </w:rPr>
      </w:pPr>
    </w:p>
    <w:p w14:paraId="17F0F6DF" w14:textId="1F88DC61" w:rsidR="00AB18A6" w:rsidRPr="008C436F" w:rsidRDefault="009C6A6F" w:rsidP="008C436F">
      <w:pPr>
        <w:pStyle w:val="Default"/>
        <w:ind w:left="720" w:right="142"/>
        <w:rPr>
          <w:b/>
          <w:bCs/>
          <w:sz w:val="18"/>
          <w:szCs w:val="18"/>
          <w:lang w:val="fr-BE"/>
        </w:rPr>
      </w:pPr>
      <w:r>
        <w:rPr>
          <w:sz w:val="18"/>
          <w:szCs w:val="18"/>
          <w:lang w:val="fr-BE"/>
        </w:rPr>
        <w:t>« </w:t>
      </w:r>
      <w:r w:rsidR="00AB18A6" w:rsidRPr="008C436F">
        <w:rPr>
          <w:sz w:val="18"/>
          <w:szCs w:val="18"/>
          <w:lang w:val="fr-BE"/>
        </w:rPr>
        <w:t xml:space="preserve">In specific cases of products with a narrow therapeutic index, the acceptance interval for AUC may need to be tightened to 90-111 %.Where Cmax is of particular importance for safety, efficacy or drug level monitoring the 90.00-111.11 % acceptance interval should also be applied for this parameter. </w:t>
      </w:r>
      <w:r w:rsidR="00AB18A6" w:rsidRPr="008C436F">
        <w:rPr>
          <w:b/>
          <w:bCs/>
          <w:sz w:val="18"/>
          <w:szCs w:val="18"/>
          <w:lang w:val="fr-BE"/>
        </w:rPr>
        <w:t>It is not possible to define a set of criteria to categorise drugs as narrow therapeutic index drugs (NTIDs) and it must be decided case by case if an active substance is an NTID based on clinical considerations.</w:t>
      </w:r>
      <w:r>
        <w:rPr>
          <w:b/>
          <w:bCs/>
          <w:sz w:val="18"/>
          <w:szCs w:val="18"/>
          <w:lang w:val="fr-BE"/>
        </w:rPr>
        <w:t> »</w:t>
      </w:r>
      <w:r w:rsidR="00AB18A6" w:rsidRPr="008C436F">
        <w:rPr>
          <w:b/>
          <w:bCs/>
          <w:sz w:val="18"/>
          <w:szCs w:val="18"/>
          <w:lang w:val="fr-BE"/>
        </w:rPr>
        <w:t xml:space="preserve"> </w:t>
      </w:r>
    </w:p>
    <w:p w14:paraId="123B7BE4" w14:textId="77777777" w:rsidR="00AB18A6" w:rsidRPr="008C436F" w:rsidRDefault="00AB18A6" w:rsidP="008C436F">
      <w:pPr>
        <w:pStyle w:val="Default"/>
        <w:ind w:left="720"/>
        <w:rPr>
          <w:sz w:val="18"/>
          <w:szCs w:val="18"/>
          <w:lang w:val="fr-BE"/>
        </w:rPr>
      </w:pPr>
    </w:p>
    <w:p w14:paraId="0F0C9A1F" w14:textId="607B3C92" w:rsidR="00AB18A6" w:rsidRDefault="00AB18A6" w:rsidP="008C436F">
      <w:pPr>
        <w:pStyle w:val="Default"/>
        <w:rPr>
          <w:sz w:val="18"/>
          <w:szCs w:val="18"/>
          <w:lang w:val="fr-BE"/>
        </w:rPr>
      </w:pPr>
      <w:r w:rsidRPr="008C436F">
        <w:rPr>
          <w:sz w:val="18"/>
          <w:szCs w:val="18"/>
          <w:lang w:val="fr-BE"/>
        </w:rPr>
        <w:t xml:space="preserve">Les autorités canadiennes utilisent la notion de </w:t>
      </w:r>
      <w:r w:rsidRPr="008C436F">
        <w:rPr>
          <w:color w:val="auto"/>
          <w:sz w:val="18"/>
          <w:szCs w:val="18"/>
          <w:lang w:val="fr-BE"/>
        </w:rPr>
        <w:t>médicament à dose critique</w:t>
      </w:r>
      <w:r w:rsidRPr="008C436F">
        <w:rPr>
          <w:color w:val="0000FF"/>
          <w:sz w:val="18"/>
          <w:szCs w:val="18"/>
          <w:lang w:val="fr-BE"/>
        </w:rPr>
        <w:t xml:space="preserve">. </w:t>
      </w:r>
      <w:r w:rsidRPr="008C436F">
        <w:rPr>
          <w:sz w:val="18"/>
          <w:szCs w:val="18"/>
          <w:lang w:val="fr-BE"/>
        </w:rPr>
        <w:t xml:space="preserve">Par médicaments à dose critique, on entend : </w:t>
      </w:r>
    </w:p>
    <w:p w14:paraId="72CF83E1" w14:textId="77777777" w:rsidR="009C6A6F" w:rsidRPr="008C436F" w:rsidRDefault="009C6A6F" w:rsidP="008C436F">
      <w:pPr>
        <w:pStyle w:val="Default"/>
        <w:rPr>
          <w:sz w:val="18"/>
          <w:szCs w:val="18"/>
          <w:lang w:val="fr-BE"/>
        </w:rPr>
      </w:pPr>
    </w:p>
    <w:p w14:paraId="718144E4" w14:textId="0F87B52F" w:rsidR="00AB18A6" w:rsidRDefault="009C6A6F" w:rsidP="008C436F">
      <w:pPr>
        <w:spacing w:after="0" w:line="240" w:lineRule="auto"/>
        <w:ind w:left="720" w:right="142"/>
        <w:rPr>
          <w:rFonts w:ascii="Verdana" w:hAnsi="Verdana"/>
          <w:sz w:val="18"/>
          <w:szCs w:val="18"/>
          <w:lang w:val="fr-BE"/>
        </w:rPr>
      </w:pPr>
      <w:r>
        <w:rPr>
          <w:rFonts w:ascii="Verdana" w:hAnsi="Verdana"/>
          <w:sz w:val="18"/>
          <w:szCs w:val="18"/>
          <w:lang w:val="fr-BE"/>
        </w:rPr>
        <w:t>« L</w:t>
      </w:r>
      <w:r w:rsidR="00AB18A6" w:rsidRPr="008C436F">
        <w:rPr>
          <w:rFonts w:ascii="Verdana" w:hAnsi="Verdana"/>
          <w:sz w:val="18"/>
          <w:szCs w:val="18"/>
          <w:lang w:val="fr-BE"/>
        </w:rPr>
        <w:t xml:space="preserve">es médicaments pour lesquels des différences de dose ou de concentration relativement légères entrainent des échecs thérapeutiques et/ou des effets indésirables graves, pouvant être persistants, irréversibles, réversibles à longue échéance ou encore mettre la vie en danger, et qui pourraient nécessiter une hospitalisation ou la prolonger, entrainer une invalidité ou une incapacité persistante ou importante, ou entrainer la mort. Cette catégorie de médicaments </w:t>
      </w:r>
      <w:r w:rsidR="00AB18A6" w:rsidRPr="008C436F">
        <w:rPr>
          <w:rFonts w:ascii="Verdana" w:hAnsi="Verdana"/>
          <w:sz w:val="18"/>
          <w:szCs w:val="18"/>
          <w:lang w:val="fr-BE"/>
        </w:rPr>
        <w:lastRenderedPageBreak/>
        <w:t>comprend les médicaments ayant une marge thérapeutique étroite et les médicaments très toxiques (Health Canada, Guidance Document - Comparative Bioavailability Standards: Formulations Used for System Effects).</w:t>
      </w:r>
      <w:r>
        <w:rPr>
          <w:rFonts w:ascii="Verdana" w:hAnsi="Verdana"/>
          <w:sz w:val="18"/>
          <w:szCs w:val="18"/>
          <w:lang w:val="fr-BE"/>
        </w:rPr>
        <w:t> »</w:t>
      </w:r>
    </w:p>
    <w:p w14:paraId="643E93C7" w14:textId="77777777" w:rsidR="009C6A6F" w:rsidRPr="008C436F" w:rsidRDefault="009C6A6F" w:rsidP="008C436F">
      <w:pPr>
        <w:spacing w:after="0" w:line="240" w:lineRule="auto"/>
        <w:ind w:left="720" w:right="142"/>
        <w:rPr>
          <w:rFonts w:ascii="Verdana" w:hAnsi="Verdana"/>
          <w:sz w:val="18"/>
          <w:szCs w:val="18"/>
          <w:lang w:val="fr-BE"/>
        </w:rPr>
      </w:pPr>
    </w:p>
    <w:p w14:paraId="62758849" w14:textId="77777777" w:rsidR="009C6A6F" w:rsidRDefault="00AB18A6" w:rsidP="008C436F">
      <w:pPr>
        <w:pStyle w:val="Default"/>
        <w:rPr>
          <w:color w:val="auto"/>
          <w:sz w:val="18"/>
          <w:szCs w:val="18"/>
          <w:lang w:val="fr-BE"/>
        </w:rPr>
      </w:pPr>
      <w:r w:rsidRPr="008C436F">
        <w:rPr>
          <w:sz w:val="18"/>
          <w:szCs w:val="18"/>
          <w:lang w:val="fr-BE"/>
        </w:rPr>
        <w:t xml:space="preserve">Les autorités américaines définissent comme suit un </w:t>
      </w:r>
      <w:r w:rsidRPr="008C436F">
        <w:rPr>
          <w:color w:val="auto"/>
          <w:sz w:val="18"/>
          <w:szCs w:val="18"/>
          <w:lang w:val="fr-BE"/>
        </w:rPr>
        <w:t>médicament à marge thérapeutique étroite :</w:t>
      </w:r>
    </w:p>
    <w:p w14:paraId="073CD06C" w14:textId="2DB3B6B8" w:rsidR="00AB18A6" w:rsidRPr="008C436F" w:rsidRDefault="00AB18A6" w:rsidP="008C436F">
      <w:pPr>
        <w:pStyle w:val="Default"/>
        <w:rPr>
          <w:sz w:val="18"/>
          <w:szCs w:val="18"/>
          <w:lang w:val="fr-BE"/>
        </w:rPr>
      </w:pPr>
      <w:r w:rsidRPr="008C436F">
        <w:rPr>
          <w:color w:val="auto"/>
          <w:sz w:val="18"/>
          <w:szCs w:val="18"/>
          <w:lang w:val="fr-BE"/>
        </w:rPr>
        <w:t xml:space="preserve"> </w:t>
      </w:r>
    </w:p>
    <w:p w14:paraId="431480CC" w14:textId="6337CAD2" w:rsidR="00AB18A6" w:rsidRPr="008C436F" w:rsidRDefault="009C6A6F" w:rsidP="008C436F">
      <w:pPr>
        <w:pStyle w:val="Default"/>
        <w:ind w:left="720" w:right="142"/>
        <w:rPr>
          <w:sz w:val="18"/>
          <w:szCs w:val="18"/>
          <w:lang w:val="fr-BE"/>
        </w:rPr>
      </w:pPr>
      <w:r>
        <w:rPr>
          <w:sz w:val="18"/>
          <w:szCs w:val="18"/>
          <w:lang w:val="fr-BE"/>
        </w:rPr>
        <w:t>« D</w:t>
      </w:r>
      <w:r w:rsidR="00AB18A6" w:rsidRPr="008C436F">
        <w:rPr>
          <w:sz w:val="18"/>
          <w:szCs w:val="18"/>
          <w:lang w:val="fr-BE"/>
        </w:rPr>
        <w:t>efinition of narrow therapeutic range: there is less than a 2-fold difference in the minimum toxic concentrations and minimum effective concentrations in the blood and safe and effective use of the drug products require careful titration and patient monitoring. (Electronic Code of Federal Regulations, Title 21, Chapter I, Subchapter D, §320.33 (c)).</w:t>
      </w:r>
      <w:r>
        <w:rPr>
          <w:sz w:val="18"/>
          <w:szCs w:val="18"/>
          <w:lang w:val="fr-BE"/>
        </w:rPr>
        <w:t> »</w:t>
      </w:r>
      <w:r w:rsidR="00AB18A6" w:rsidRPr="008C436F">
        <w:rPr>
          <w:sz w:val="18"/>
          <w:szCs w:val="18"/>
          <w:lang w:val="fr-BE"/>
        </w:rPr>
        <w:t xml:space="preserve"> </w:t>
      </w:r>
    </w:p>
    <w:p w14:paraId="049DE97B" w14:textId="77777777" w:rsidR="00AB18A6" w:rsidRPr="008C436F" w:rsidRDefault="00AB18A6" w:rsidP="008C436F">
      <w:pPr>
        <w:pStyle w:val="Default"/>
        <w:ind w:left="720"/>
        <w:rPr>
          <w:sz w:val="18"/>
          <w:szCs w:val="18"/>
          <w:lang w:val="fr-BE"/>
        </w:rPr>
      </w:pPr>
    </w:p>
    <w:p w14:paraId="3912BF38" w14:textId="5439AAA8" w:rsidR="00AB18A6" w:rsidRDefault="00AB18A6" w:rsidP="008C436F">
      <w:pPr>
        <w:pStyle w:val="Default"/>
        <w:rPr>
          <w:sz w:val="18"/>
          <w:szCs w:val="18"/>
          <w:lang w:val="fr-BE"/>
        </w:rPr>
      </w:pPr>
      <w:r w:rsidRPr="008C436F">
        <w:rPr>
          <w:sz w:val="18"/>
          <w:szCs w:val="18"/>
          <w:lang w:val="fr-BE"/>
        </w:rPr>
        <w:t xml:space="preserve">Les experts de l’AFMPS définissent comme suit les médicaments à marge thérapeutique étroite : </w:t>
      </w:r>
    </w:p>
    <w:p w14:paraId="4354C92C" w14:textId="77777777" w:rsidR="0064385C" w:rsidRPr="008C436F" w:rsidRDefault="0064385C" w:rsidP="008C436F">
      <w:pPr>
        <w:pStyle w:val="Default"/>
        <w:rPr>
          <w:sz w:val="18"/>
          <w:szCs w:val="18"/>
          <w:lang w:val="fr-BE"/>
        </w:rPr>
      </w:pPr>
    </w:p>
    <w:p w14:paraId="1F3E8F47" w14:textId="1E80B684" w:rsidR="00AB18A6" w:rsidRPr="008C436F" w:rsidRDefault="0064385C" w:rsidP="008C436F">
      <w:pPr>
        <w:pStyle w:val="Default"/>
        <w:ind w:left="720" w:right="142"/>
        <w:rPr>
          <w:sz w:val="18"/>
          <w:szCs w:val="18"/>
          <w:lang w:val="fr-BE"/>
        </w:rPr>
      </w:pPr>
      <w:r>
        <w:rPr>
          <w:sz w:val="18"/>
          <w:szCs w:val="18"/>
          <w:lang w:val="fr-BE"/>
        </w:rPr>
        <w:t>« </w:t>
      </w:r>
      <w:r w:rsidR="00AB18A6" w:rsidRPr="008C436F">
        <w:rPr>
          <w:sz w:val="18"/>
          <w:szCs w:val="18"/>
          <w:lang w:val="fr-BE"/>
        </w:rPr>
        <w:t>Pour certains médicaments, des différences de dose ou de concentration relativement légères peuvent entrainer des échecs thérapeutiques et/ou des effets indésirables graves. Ces médicaments sont appelés médicaments à marge thérapeutique étroite, c’est-à-dire que la différence entre la dose toxique et la dose thérapeutique est faible. Parmi ceux-ci, la plupart nécessitent un monitoring c’est-à-dire un suivi au moyen de tests sanguins afin de contrôler et d’individualiser le traitement du patient.</w:t>
      </w:r>
      <w:r>
        <w:rPr>
          <w:sz w:val="18"/>
          <w:szCs w:val="18"/>
          <w:lang w:val="fr-BE"/>
        </w:rPr>
        <w:t> »</w:t>
      </w:r>
      <w:r w:rsidR="00AB18A6" w:rsidRPr="008C436F">
        <w:rPr>
          <w:sz w:val="18"/>
          <w:szCs w:val="18"/>
          <w:lang w:val="fr-BE"/>
        </w:rPr>
        <w:t xml:space="preserve"> </w:t>
      </w:r>
    </w:p>
    <w:p w14:paraId="3E0B58A8" w14:textId="77777777" w:rsidR="00AB18A6" w:rsidRPr="008C436F" w:rsidRDefault="00AB18A6" w:rsidP="008C436F">
      <w:pPr>
        <w:pStyle w:val="Default"/>
        <w:rPr>
          <w:sz w:val="18"/>
          <w:szCs w:val="18"/>
          <w:lang w:val="fr-BE"/>
        </w:rPr>
      </w:pPr>
    </w:p>
    <w:p w14:paraId="5454F1E8" w14:textId="7836F39B" w:rsidR="00AB18A6" w:rsidRPr="008C436F" w:rsidRDefault="00AB18A6" w:rsidP="008C436F">
      <w:pPr>
        <w:pStyle w:val="Default"/>
        <w:ind w:right="142"/>
        <w:rPr>
          <w:sz w:val="18"/>
          <w:szCs w:val="18"/>
          <w:lang w:val="fr-BE"/>
        </w:rPr>
      </w:pPr>
      <w:r w:rsidRPr="008C436F">
        <w:rPr>
          <w:sz w:val="18"/>
          <w:szCs w:val="18"/>
          <w:lang w:val="fr-BE"/>
        </w:rPr>
        <w:t xml:space="preserve">Sur la base de ces différentes définitions, des listes existantes (Health Canada, </w:t>
      </w:r>
      <w:r w:rsidR="0064385C" w:rsidRPr="00F55B1C">
        <w:rPr>
          <w:sz w:val="18"/>
          <w:szCs w:val="18"/>
          <w:lang w:val="nl-BE"/>
        </w:rPr>
        <w:t xml:space="preserve">Food and Drug Administration </w:t>
      </w:r>
      <w:r w:rsidR="0064385C">
        <w:rPr>
          <w:sz w:val="18"/>
          <w:szCs w:val="18"/>
          <w:lang w:val="nl-BE"/>
        </w:rPr>
        <w:t>(</w:t>
      </w:r>
      <w:r w:rsidR="0064385C" w:rsidRPr="00F55B1C">
        <w:rPr>
          <w:sz w:val="18"/>
          <w:szCs w:val="18"/>
          <w:lang w:val="nl-BE"/>
        </w:rPr>
        <w:t>FDA</w:t>
      </w:r>
      <w:r w:rsidR="0064385C">
        <w:rPr>
          <w:sz w:val="18"/>
          <w:szCs w:val="18"/>
          <w:lang w:val="nl-BE"/>
        </w:rPr>
        <w:t>)</w:t>
      </w:r>
      <w:r w:rsidRPr="008C436F">
        <w:rPr>
          <w:sz w:val="18"/>
          <w:szCs w:val="18"/>
          <w:lang w:val="fr-BE"/>
        </w:rPr>
        <w:t xml:space="preserve">, Danish Medicines Agency), de la littérature scientifique, des ouvrages et des sites internet de référence (p. ex. Goodman &amp; Gildman C. Dollery, Medline Plus et Micromedex®), du </w:t>
      </w:r>
      <w:r w:rsidR="0064385C" w:rsidRPr="00F55B1C">
        <w:rPr>
          <w:sz w:val="18"/>
          <w:szCs w:val="18"/>
          <w:lang w:val="nl-BE"/>
        </w:rPr>
        <w:t>The International Association of Forensic Toxicologists (TIAFT)</w:t>
      </w:r>
      <w:r w:rsidRPr="008C436F">
        <w:rPr>
          <w:sz w:val="18"/>
          <w:szCs w:val="18"/>
          <w:lang w:val="fr-BE"/>
        </w:rPr>
        <w:t xml:space="preserve">, de l’avis d’experts, de la nécessité d’un monitoring, de l’Evidence Based Medicine et des propriétés pharmacocinétiques des substances actives, la liste des molécules ayant une marge thérapeutique-toxique étroite et/ou très toxiques et assimilées qui sont disponibles sur le marché belge a été dressée ci-dessous. Il a également été tenu compte du principe de précaution et de l’applicabilité dans la pratique. Les molécules pour lesquelles il existe plusieurs médicaments dans un groupe DCI sont indiquées avec un astérisque. </w:t>
      </w:r>
    </w:p>
    <w:p w14:paraId="59D1390E" w14:textId="77777777" w:rsidR="00AB18A6" w:rsidRPr="008C436F" w:rsidRDefault="00AB18A6" w:rsidP="008C436F">
      <w:pPr>
        <w:pStyle w:val="Default"/>
        <w:rPr>
          <w:b/>
          <w:bCs/>
          <w:sz w:val="18"/>
          <w:szCs w:val="18"/>
          <w:lang w:val="fr-BE"/>
        </w:rPr>
      </w:pPr>
    </w:p>
    <w:p w14:paraId="4A86BDE1" w14:textId="2CF38EDB" w:rsidR="00AB18A6" w:rsidRPr="008C436F" w:rsidRDefault="00AB18A6" w:rsidP="0064385C">
      <w:pPr>
        <w:pStyle w:val="Default"/>
        <w:ind w:firstLine="720"/>
        <w:rPr>
          <w:b/>
          <w:bCs/>
          <w:sz w:val="18"/>
          <w:szCs w:val="18"/>
          <w:lang w:val="fr-BE"/>
        </w:rPr>
      </w:pPr>
      <w:r w:rsidRPr="008C436F">
        <w:rPr>
          <w:b/>
          <w:bCs/>
          <w:sz w:val="18"/>
          <w:szCs w:val="18"/>
          <w:lang w:val="fr-BE"/>
        </w:rPr>
        <w:t>7.1.2</w:t>
      </w:r>
      <w:r w:rsidR="0064385C">
        <w:rPr>
          <w:b/>
          <w:bCs/>
          <w:sz w:val="18"/>
          <w:szCs w:val="18"/>
          <w:lang w:val="fr-BE"/>
        </w:rPr>
        <w:tab/>
      </w:r>
      <w:r w:rsidRPr="008C436F">
        <w:rPr>
          <w:b/>
          <w:bCs/>
          <w:sz w:val="18"/>
          <w:szCs w:val="18"/>
          <w:lang w:val="fr-BE"/>
        </w:rPr>
        <w:t xml:space="preserve">Liste des molécules à marge thérapeutique étroite et/ou très toxiques </w:t>
      </w:r>
    </w:p>
    <w:p w14:paraId="64F290EB" w14:textId="77777777" w:rsidR="00AB18A6" w:rsidRPr="008C436F" w:rsidRDefault="00AB18A6" w:rsidP="008C436F">
      <w:pPr>
        <w:pStyle w:val="Default"/>
        <w:rPr>
          <w:color w:val="auto"/>
          <w:sz w:val="18"/>
          <w:szCs w:val="18"/>
          <w:lang w:val="fr-BE"/>
        </w:rPr>
      </w:pPr>
    </w:p>
    <w:tbl>
      <w:tblPr>
        <w:tblW w:w="8801" w:type="dxa"/>
        <w:tblInd w:w="-5" w:type="dxa"/>
        <w:tblLook w:val="04A0" w:firstRow="1" w:lastRow="0" w:firstColumn="1" w:lastColumn="0" w:noHBand="0" w:noVBand="1"/>
      </w:tblPr>
      <w:tblGrid>
        <w:gridCol w:w="3125"/>
        <w:gridCol w:w="2742"/>
        <w:gridCol w:w="2934"/>
      </w:tblGrid>
      <w:tr w:rsidR="00AB18A6" w:rsidRPr="008C436F" w14:paraId="544AEBA5" w14:textId="77777777" w:rsidTr="00671F68">
        <w:trPr>
          <w:trHeight w:val="254"/>
        </w:trPr>
        <w:tc>
          <w:tcPr>
            <w:tcW w:w="3125" w:type="dxa"/>
            <w:tcBorders>
              <w:top w:val="single" w:sz="4" w:space="0" w:color="auto"/>
              <w:left w:val="single" w:sz="4" w:space="0" w:color="auto"/>
            </w:tcBorders>
            <w:shd w:val="clear" w:color="auto" w:fill="auto"/>
            <w:noWrap/>
            <w:vAlign w:val="center"/>
            <w:hideMark/>
          </w:tcPr>
          <w:p w14:paraId="48AE76A4"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Acénocoumarol </w:t>
            </w:r>
          </w:p>
        </w:tc>
        <w:tc>
          <w:tcPr>
            <w:tcW w:w="2742" w:type="dxa"/>
            <w:tcBorders>
              <w:top w:val="single" w:sz="4" w:space="0" w:color="auto"/>
            </w:tcBorders>
            <w:shd w:val="clear" w:color="auto" w:fill="auto"/>
            <w:noWrap/>
            <w:vAlign w:val="center"/>
            <w:hideMark/>
          </w:tcPr>
          <w:p w14:paraId="680A414D"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Disopyramide </w:t>
            </w:r>
          </w:p>
        </w:tc>
        <w:tc>
          <w:tcPr>
            <w:tcW w:w="2934" w:type="dxa"/>
            <w:tcBorders>
              <w:top w:val="single" w:sz="4" w:space="0" w:color="auto"/>
              <w:right w:val="single" w:sz="4" w:space="0" w:color="auto"/>
            </w:tcBorders>
            <w:shd w:val="clear" w:color="auto" w:fill="auto"/>
            <w:noWrap/>
            <w:vAlign w:val="center"/>
            <w:hideMark/>
          </w:tcPr>
          <w:p w14:paraId="6C780B00"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Phenprocoumone </w:t>
            </w:r>
          </w:p>
        </w:tc>
      </w:tr>
      <w:tr w:rsidR="00AB18A6" w:rsidRPr="008C436F" w14:paraId="4359A140" w14:textId="77777777" w:rsidTr="00671F68">
        <w:trPr>
          <w:trHeight w:val="254"/>
        </w:trPr>
        <w:tc>
          <w:tcPr>
            <w:tcW w:w="3125" w:type="dxa"/>
            <w:tcBorders>
              <w:left w:val="single" w:sz="4" w:space="0" w:color="auto"/>
            </w:tcBorders>
            <w:shd w:val="clear" w:color="auto" w:fill="auto"/>
            <w:noWrap/>
            <w:vAlign w:val="center"/>
            <w:hideMark/>
          </w:tcPr>
          <w:p w14:paraId="593F0177"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Acide valproïque* </w:t>
            </w:r>
          </w:p>
        </w:tc>
        <w:tc>
          <w:tcPr>
            <w:tcW w:w="2742" w:type="dxa"/>
            <w:shd w:val="clear" w:color="auto" w:fill="auto"/>
            <w:noWrap/>
            <w:vAlign w:val="center"/>
            <w:hideMark/>
          </w:tcPr>
          <w:p w14:paraId="61281AFB"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Evérolimus </w:t>
            </w:r>
          </w:p>
        </w:tc>
        <w:tc>
          <w:tcPr>
            <w:tcW w:w="2934" w:type="dxa"/>
            <w:tcBorders>
              <w:right w:val="single" w:sz="4" w:space="0" w:color="auto"/>
            </w:tcBorders>
            <w:shd w:val="clear" w:color="auto" w:fill="auto"/>
            <w:noWrap/>
            <w:vAlign w:val="center"/>
            <w:hideMark/>
          </w:tcPr>
          <w:p w14:paraId="5A9FE679"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Phénytoïne </w:t>
            </w:r>
          </w:p>
        </w:tc>
      </w:tr>
      <w:tr w:rsidR="00AB18A6" w:rsidRPr="008C436F" w14:paraId="7D0634D0" w14:textId="77777777" w:rsidTr="00671F68">
        <w:trPr>
          <w:trHeight w:val="254"/>
        </w:trPr>
        <w:tc>
          <w:tcPr>
            <w:tcW w:w="3125" w:type="dxa"/>
            <w:tcBorders>
              <w:left w:val="single" w:sz="4" w:space="0" w:color="auto"/>
            </w:tcBorders>
            <w:shd w:val="clear" w:color="auto" w:fill="auto"/>
            <w:noWrap/>
            <w:vAlign w:val="center"/>
            <w:hideMark/>
          </w:tcPr>
          <w:p w14:paraId="608BE04D"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Aminoglycosides** </w:t>
            </w:r>
          </w:p>
        </w:tc>
        <w:tc>
          <w:tcPr>
            <w:tcW w:w="2742" w:type="dxa"/>
            <w:shd w:val="clear" w:color="auto" w:fill="auto"/>
            <w:noWrap/>
            <w:vAlign w:val="center"/>
            <w:hideMark/>
          </w:tcPr>
          <w:p w14:paraId="7128D1D2"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Flécaïnide* </w:t>
            </w:r>
          </w:p>
        </w:tc>
        <w:tc>
          <w:tcPr>
            <w:tcW w:w="2934" w:type="dxa"/>
            <w:tcBorders>
              <w:right w:val="single" w:sz="4" w:space="0" w:color="auto"/>
            </w:tcBorders>
            <w:shd w:val="clear" w:color="auto" w:fill="auto"/>
            <w:noWrap/>
            <w:vAlign w:val="center"/>
            <w:hideMark/>
          </w:tcPr>
          <w:p w14:paraId="46065C0D"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Propafénone </w:t>
            </w:r>
          </w:p>
        </w:tc>
      </w:tr>
      <w:tr w:rsidR="00AB18A6" w:rsidRPr="008C436F" w14:paraId="41C33BAE" w14:textId="77777777" w:rsidTr="00671F68">
        <w:trPr>
          <w:trHeight w:val="254"/>
        </w:trPr>
        <w:tc>
          <w:tcPr>
            <w:tcW w:w="3125" w:type="dxa"/>
            <w:tcBorders>
              <w:left w:val="single" w:sz="4" w:space="0" w:color="auto"/>
            </w:tcBorders>
            <w:shd w:val="clear" w:color="auto" w:fill="auto"/>
            <w:noWrap/>
            <w:vAlign w:val="center"/>
            <w:hideMark/>
          </w:tcPr>
          <w:p w14:paraId="72250473"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Amiodarone* </w:t>
            </w:r>
          </w:p>
        </w:tc>
        <w:tc>
          <w:tcPr>
            <w:tcW w:w="2742" w:type="dxa"/>
            <w:shd w:val="clear" w:color="auto" w:fill="auto"/>
            <w:noWrap/>
            <w:vAlign w:val="center"/>
            <w:hideMark/>
          </w:tcPr>
          <w:p w14:paraId="11289768"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Lévothyroxine* </w:t>
            </w:r>
          </w:p>
        </w:tc>
        <w:tc>
          <w:tcPr>
            <w:tcW w:w="2934" w:type="dxa"/>
            <w:tcBorders>
              <w:right w:val="single" w:sz="4" w:space="0" w:color="auto"/>
            </w:tcBorders>
            <w:shd w:val="clear" w:color="auto" w:fill="auto"/>
            <w:noWrap/>
            <w:vAlign w:val="center"/>
            <w:hideMark/>
          </w:tcPr>
          <w:p w14:paraId="5D452C59"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Primidone </w:t>
            </w:r>
          </w:p>
        </w:tc>
      </w:tr>
      <w:tr w:rsidR="00AB18A6" w:rsidRPr="008C436F" w14:paraId="6EFF3800" w14:textId="77777777" w:rsidTr="00671F68">
        <w:trPr>
          <w:trHeight w:val="254"/>
        </w:trPr>
        <w:tc>
          <w:tcPr>
            <w:tcW w:w="3125" w:type="dxa"/>
            <w:tcBorders>
              <w:left w:val="single" w:sz="4" w:space="0" w:color="auto"/>
            </w:tcBorders>
            <w:shd w:val="clear" w:color="auto" w:fill="auto"/>
            <w:noWrap/>
            <w:vAlign w:val="center"/>
            <w:hideMark/>
          </w:tcPr>
          <w:p w14:paraId="79D56AE2"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Azathioprine* </w:t>
            </w:r>
          </w:p>
        </w:tc>
        <w:tc>
          <w:tcPr>
            <w:tcW w:w="2742" w:type="dxa"/>
            <w:shd w:val="clear" w:color="auto" w:fill="auto"/>
            <w:noWrap/>
            <w:vAlign w:val="center"/>
            <w:hideMark/>
          </w:tcPr>
          <w:p w14:paraId="0B7256CB"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Lidocaïne </w:t>
            </w:r>
          </w:p>
        </w:tc>
        <w:tc>
          <w:tcPr>
            <w:tcW w:w="2934" w:type="dxa"/>
            <w:tcBorders>
              <w:right w:val="single" w:sz="4" w:space="0" w:color="auto"/>
            </w:tcBorders>
            <w:shd w:val="clear" w:color="auto" w:fill="auto"/>
            <w:noWrap/>
            <w:vAlign w:val="center"/>
            <w:hideMark/>
          </w:tcPr>
          <w:p w14:paraId="3C78526F"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Sirolimus </w:t>
            </w:r>
          </w:p>
        </w:tc>
      </w:tr>
      <w:tr w:rsidR="00AB18A6" w:rsidRPr="008C436F" w14:paraId="47BEE623" w14:textId="77777777" w:rsidTr="00671F68">
        <w:trPr>
          <w:trHeight w:val="254"/>
        </w:trPr>
        <w:tc>
          <w:tcPr>
            <w:tcW w:w="3125" w:type="dxa"/>
            <w:tcBorders>
              <w:left w:val="single" w:sz="4" w:space="0" w:color="auto"/>
            </w:tcBorders>
            <w:shd w:val="clear" w:color="auto" w:fill="auto"/>
            <w:noWrap/>
            <w:vAlign w:val="center"/>
            <w:hideMark/>
          </w:tcPr>
          <w:p w14:paraId="5014435F"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Carbamazépine* </w:t>
            </w:r>
          </w:p>
        </w:tc>
        <w:tc>
          <w:tcPr>
            <w:tcW w:w="2742" w:type="dxa"/>
            <w:shd w:val="clear" w:color="auto" w:fill="auto"/>
            <w:noWrap/>
            <w:vAlign w:val="center"/>
            <w:hideMark/>
          </w:tcPr>
          <w:p w14:paraId="34697897"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Lithium </w:t>
            </w:r>
          </w:p>
        </w:tc>
        <w:tc>
          <w:tcPr>
            <w:tcW w:w="2934" w:type="dxa"/>
            <w:tcBorders>
              <w:right w:val="single" w:sz="4" w:space="0" w:color="auto"/>
            </w:tcBorders>
            <w:shd w:val="clear" w:color="auto" w:fill="auto"/>
            <w:noWrap/>
            <w:vAlign w:val="center"/>
            <w:hideMark/>
          </w:tcPr>
          <w:p w14:paraId="4D4413F8"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Sotalol* </w:t>
            </w:r>
          </w:p>
        </w:tc>
      </w:tr>
      <w:tr w:rsidR="00AB18A6" w:rsidRPr="008C436F" w14:paraId="18E278BF" w14:textId="77777777" w:rsidTr="00671F68">
        <w:trPr>
          <w:trHeight w:val="254"/>
        </w:trPr>
        <w:tc>
          <w:tcPr>
            <w:tcW w:w="3125" w:type="dxa"/>
            <w:tcBorders>
              <w:left w:val="single" w:sz="4" w:space="0" w:color="auto"/>
            </w:tcBorders>
            <w:shd w:val="clear" w:color="auto" w:fill="auto"/>
            <w:noWrap/>
            <w:vAlign w:val="center"/>
            <w:hideMark/>
          </w:tcPr>
          <w:p w14:paraId="018FACC7"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Ciclosporine* </w:t>
            </w:r>
          </w:p>
        </w:tc>
        <w:tc>
          <w:tcPr>
            <w:tcW w:w="2742" w:type="dxa"/>
            <w:shd w:val="clear" w:color="auto" w:fill="auto"/>
            <w:noWrap/>
            <w:vAlign w:val="center"/>
            <w:hideMark/>
          </w:tcPr>
          <w:p w14:paraId="7FE3FC85"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Métildigoxine </w:t>
            </w:r>
          </w:p>
        </w:tc>
        <w:tc>
          <w:tcPr>
            <w:tcW w:w="2934" w:type="dxa"/>
            <w:tcBorders>
              <w:right w:val="single" w:sz="4" w:space="0" w:color="auto"/>
            </w:tcBorders>
            <w:shd w:val="clear" w:color="auto" w:fill="auto"/>
            <w:noWrap/>
            <w:vAlign w:val="center"/>
            <w:hideMark/>
          </w:tcPr>
          <w:p w14:paraId="685B7D4A"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Tacrolimus* </w:t>
            </w:r>
          </w:p>
        </w:tc>
      </w:tr>
      <w:tr w:rsidR="00AB18A6" w:rsidRPr="008C436F" w14:paraId="26F54880" w14:textId="77777777" w:rsidTr="00671F68">
        <w:trPr>
          <w:trHeight w:val="254"/>
        </w:trPr>
        <w:tc>
          <w:tcPr>
            <w:tcW w:w="3125" w:type="dxa"/>
            <w:tcBorders>
              <w:left w:val="single" w:sz="4" w:space="0" w:color="auto"/>
            </w:tcBorders>
            <w:shd w:val="clear" w:color="auto" w:fill="auto"/>
            <w:noWrap/>
            <w:vAlign w:val="center"/>
            <w:hideMark/>
          </w:tcPr>
          <w:p w14:paraId="433EEA57"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Clozapine* </w:t>
            </w:r>
          </w:p>
        </w:tc>
        <w:tc>
          <w:tcPr>
            <w:tcW w:w="2742" w:type="dxa"/>
            <w:shd w:val="clear" w:color="auto" w:fill="auto"/>
            <w:noWrap/>
            <w:vAlign w:val="center"/>
            <w:hideMark/>
          </w:tcPr>
          <w:p w14:paraId="5FB0D2DC"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Mycophénolate* </w:t>
            </w:r>
          </w:p>
        </w:tc>
        <w:tc>
          <w:tcPr>
            <w:tcW w:w="2934" w:type="dxa"/>
            <w:tcBorders>
              <w:right w:val="single" w:sz="4" w:space="0" w:color="auto"/>
            </w:tcBorders>
            <w:shd w:val="clear" w:color="auto" w:fill="auto"/>
            <w:noWrap/>
            <w:vAlign w:val="center"/>
            <w:hideMark/>
          </w:tcPr>
          <w:p w14:paraId="1D963829"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Théophylline </w:t>
            </w:r>
          </w:p>
        </w:tc>
      </w:tr>
      <w:tr w:rsidR="00AB18A6" w:rsidRPr="008C436F" w14:paraId="0EA5EA14" w14:textId="77777777" w:rsidTr="00671F68">
        <w:trPr>
          <w:trHeight w:val="254"/>
        </w:trPr>
        <w:tc>
          <w:tcPr>
            <w:tcW w:w="3125" w:type="dxa"/>
            <w:tcBorders>
              <w:left w:val="single" w:sz="4" w:space="0" w:color="auto"/>
            </w:tcBorders>
            <w:shd w:val="clear" w:color="auto" w:fill="auto"/>
            <w:noWrap/>
            <w:vAlign w:val="center"/>
            <w:hideMark/>
          </w:tcPr>
          <w:p w14:paraId="2AEB148B"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Colchicine </w:t>
            </w:r>
          </w:p>
        </w:tc>
        <w:tc>
          <w:tcPr>
            <w:tcW w:w="2742" w:type="dxa"/>
            <w:shd w:val="clear" w:color="auto" w:fill="auto"/>
            <w:noWrap/>
            <w:vAlign w:val="center"/>
            <w:hideMark/>
          </w:tcPr>
          <w:p w14:paraId="177FDB43"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Oxcarbazepine* </w:t>
            </w:r>
          </w:p>
        </w:tc>
        <w:tc>
          <w:tcPr>
            <w:tcW w:w="2934" w:type="dxa"/>
            <w:tcBorders>
              <w:right w:val="single" w:sz="4" w:space="0" w:color="auto"/>
            </w:tcBorders>
            <w:shd w:val="clear" w:color="auto" w:fill="auto"/>
            <w:noWrap/>
            <w:vAlign w:val="bottom"/>
            <w:hideMark/>
          </w:tcPr>
          <w:p w14:paraId="1F0B46C0" w14:textId="77777777" w:rsidR="00AB18A6" w:rsidRPr="008C436F" w:rsidRDefault="00AB18A6" w:rsidP="008C436F">
            <w:pPr>
              <w:spacing w:after="0" w:line="240" w:lineRule="auto"/>
              <w:rPr>
                <w:rFonts w:ascii="Verdana" w:eastAsia="Times New Roman" w:hAnsi="Verdana" w:cs="Calibri"/>
                <w:color w:val="000000"/>
                <w:sz w:val="18"/>
                <w:szCs w:val="18"/>
                <w:lang w:val="fr-BE" w:eastAsia="en-GB"/>
              </w:rPr>
            </w:pPr>
            <w:r w:rsidRPr="008C436F">
              <w:rPr>
                <w:rFonts w:ascii="Verdana" w:eastAsia="Times New Roman" w:hAnsi="Verdana" w:cs="Calibri"/>
                <w:color w:val="000000"/>
                <w:sz w:val="18"/>
                <w:szCs w:val="18"/>
                <w:lang w:val="fr-BE" w:eastAsia="en-GB"/>
              </w:rPr>
              <w:t>Warfarine</w:t>
            </w:r>
          </w:p>
        </w:tc>
      </w:tr>
      <w:tr w:rsidR="00AB18A6" w:rsidRPr="008C436F" w14:paraId="45EE6312" w14:textId="77777777" w:rsidTr="00671F68">
        <w:trPr>
          <w:trHeight w:val="254"/>
        </w:trPr>
        <w:tc>
          <w:tcPr>
            <w:tcW w:w="3125" w:type="dxa"/>
            <w:tcBorders>
              <w:left w:val="single" w:sz="4" w:space="0" w:color="auto"/>
              <w:bottom w:val="single" w:sz="4" w:space="0" w:color="auto"/>
            </w:tcBorders>
            <w:shd w:val="clear" w:color="auto" w:fill="auto"/>
            <w:noWrap/>
            <w:vAlign w:val="center"/>
            <w:hideMark/>
          </w:tcPr>
          <w:p w14:paraId="0E11A8D5"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Digoxine </w:t>
            </w:r>
          </w:p>
        </w:tc>
        <w:tc>
          <w:tcPr>
            <w:tcW w:w="2742" w:type="dxa"/>
            <w:tcBorders>
              <w:bottom w:val="single" w:sz="4" w:space="0" w:color="auto"/>
            </w:tcBorders>
            <w:shd w:val="clear" w:color="auto" w:fill="auto"/>
            <w:noWrap/>
            <w:vAlign w:val="center"/>
            <w:hideMark/>
          </w:tcPr>
          <w:p w14:paraId="5686A342" w14:textId="77777777" w:rsidR="00AB18A6" w:rsidRPr="008C436F" w:rsidRDefault="00AB18A6" w:rsidP="008C436F">
            <w:pPr>
              <w:spacing w:after="0" w:line="240" w:lineRule="auto"/>
              <w:rPr>
                <w:rFonts w:ascii="Verdana" w:eastAsia="Times New Roman" w:hAnsi="Verdana" w:cs="Calibri"/>
                <w:sz w:val="18"/>
                <w:szCs w:val="18"/>
                <w:lang w:val="fr-BE" w:eastAsia="en-GB"/>
              </w:rPr>
            </w:pPr>
            <w:r w:rsidRPr="008C436F">
              <w:rPr>
                <w:rFonts w:ascii="Verdana" w:eastAsia="Times New Roman" w:hAnsi="Verdana" w:cs="Calibri"/>
                <w:sz w:val="18"/>
                <w:szCs w:val="18"/>
                <w:lang w:val="fr-BE" w:eastAsia="en-GB"/>
              </w:rPr>
              <w:t xml:space="preserve">Phénobarbital* </w:t>
            </w:r>
          </w:p>
        </w:tc>
        <w:tc>
          <w:tcPr>
            <w:tcW w:w="2934" w:type="dxa"/>
            <w:tcBorders>
              <w:bottom w:val="single" w:sz="4" w:space="0" w:color="auto"/>
              <w:right w:val="single" w:sz="4" w:space="0" w:color="auto"/>
            </w:tcBorders>
            <w:shd w:val="clear" w:color="auto" w:fill="auto"/>
            <w:noWrap/>
            <w:vAlign w:val="bottom"/>
            <w:hideMark/>
          </w:tcPr>
          <w:p w14:paraId="0631F771" w14:textId="77777777" w:rsidR="00AB18A6" w:rsidRPr="008C436F" w:rsidRDefault="00AB18A6" w:rsidP="008C436F">
            <w:pPr>
              <w:spacing w:after="0" w:line="240" w:lineRule="auto"/>
              <w:rPr>
                <w:rFonts w:ascii="Verdana" w:eastAsia="Times New Roman" w:hAnsi="Verdana" w:cs="Calibri"/>
                <w:color w:val="000000"/>
                <w:lang w:val="fr-BE" w:eastAsia="en-GB"/>
              </w:rPr>
            </w:pPr>
            <w:r w:rsidRPr="008C436F">
              <w:rPr>
                <w:rFonts w:ascii="Verdana" w:eastAsia="Times New Roman" w:hAnsi="Verdana" w:cs="Calibri"/>
                <w:color w:val="000000"/>
                <w:lang w:val="fr-BE" w:eastAsia="en-GB"/>
              </w:rPr>
              <w:t> </w:t>
            </w:r>
          </w:p>
        </w:tc>
      </w:tr>
    </w:tbl>
    <w:p w14:paraId="6E09060F" w14:textId="3B47B19B" w:rsidR="00AB18A6" w:rsidRPr="0064385C" w:rsidRDefault="00AB18A6" w:rsidP="0064385C">
      <w:pPr>
        <w:pStyle w:val="Default"/>
        <w:ind w:left="284" w:hanging="284"/>
        <w:rPr>
          <w:sz w:val="16"/>
          <w:szCs w:val="16"/>
          <w:lang w:val="fr-BE"/>
        </w:rPr>
      </w:pPr>
      <w:r w:rsidRPr="0064385C">
        <w:rPr>
          <w:sz w:val="16"/>
          <w:szCs w:val="16"/>
          <w:lang w:val="fr-BE"/>
        </w:rPr>
        <w:t xml:space="preserve">* </w:t>
      </w:r>
      <w:r w:rsidR="0064385C" w:rsidRPr="0064385C">
        <w:rPr>
          <w:sz w:val="16"/>
          <w:szCs w:val="16"/>
          <w:lang w:val="fr-BE"/>
        </w:rPr>
        <w:tab/>
      </w:r>
      <w:r w:rsidRPr="0064385C">
        <w:rPr>
          <w:sz w:val="16"/>
          <w:szCs w:val="16"/>
          <w:lang w:val="fr-BE"/>
        </w:rPr>
        <w:t xml:space="preserve">Molécules pour lesquelles il existe plusieurs médicaments commercialisés sur le marché belge dans un groupe DCI. La liste des molécules concernées est mise à jour régulièrement. </w:t>
      </w:r>
    </w:p>
    <w:p w14:paraId="3A627EDE" w14:textId="72A36456" w:rsidR="00AB18A6" w:rsidRPr="0064385C" w:rsidRDefault="00AB18A6" w:rsidP="0064385C">
      <w:pPr>
        <w:pStyle w:val="Default"/>
        <w:ind w:left="284" w:hanging="284"/>
        <w:rPr>
          <w:sz w:val="16"/>
          <w:szCs w:val="16"/>
          <w:lang w:val="fr-BE"/>
        </w:rPr>
      </w:pPr>
      <w:r w:rsidRPr="0064385C">
        <w:rPr>
          <w:sz w:val="16"/>
          <w:szCs w:val="16"/>
          <w:lang w:val="fr-BE"/>
        </w:rPr>
        <w:t xml:space="preserve">** </w:t>
      </w:r>
      <w:r w:rsidR="0064385C" w:rsidRPr="0064385C">
        <w:rPr>
          <w:sz w:val="16"/>
          <w:szCs w:val="16"/>
          <w:lang w:val="fr-BE"/>
        </w:rPr>
        <w:tab/>
      </w:r>
      <w:r w:rsidRPr="0064385C">
        <w:rPr>
          <w:sz w:val="16"/>
          <w:szCs w:val="16"/>
          <w:lang w:val="fr-BE"/>
        </w:rPr>
        <w:t xml:space="preserve">Les aminoglycosides sont des agents antibiotiques puissants dont l’activité bactéricide est dose-dépendante et qui sont connus pour avoir une marge thérapeutique-toxique étroite. Les risques de néphrotoxicité et d’ototoxicité sont accrus chez les insuffisants rénaux et les personnes âgées. Les aminoglycosides sont utilisés de préférence en milieu hospitalier vu la nécessité d'un suivi et leur toxicité potentielle. </w:t>
      </w:r>
    </w:p>
    <w:p w14:paraId="6FA9CB4F" w14:textId="77777777" w:rsidR="00AB18A6" w:rsidRPr="008C436F" w:rsidRDefault="00AB18A6" w:rsidP="008C436F">
      <w:pPr>
        <w:pStyle w:val="Default"/>
        <w:rPr>
          <w:sz w:val="14"/>
          <w:szCs w:val="18"/>
          <w:lang w:val="fr-BE"/>
        </w:rPr>
      </w:pPr>
    </w:p>
    <w:p w14:paraId="5FE98C89" w14:textId="143222E0" w:rsidR="00AB18A6" w:rsidRPr="008C436F" w:rsidRDefault="00AB18A6" w:rsidP="008C436F">
      <w:pPr>
        <w:pStyle w:val="Default"/>
        <w:rPr>
          <w:sz w:val="18"/>
          <w:szCs w:val="18"/>
          <w:lang w:val="fr-BE"/>
        </w:rPr>
      </w:pPr>
      <w:r w:rsidRPr="008C436F">
        <w:rPr>
          <w:b/>
          <w:bCs/>
          <w:sz w:val="18"/>
          <w:szCs w:val="18"/>
          <w:lang w:val="fr-BE"/>
        </w:rPr>
        <w:t>7.2</w:t>
      </w:r>
      <w:r w:rsidR="0064385C">
        <w:rPr>
          <w:b/>
          <w:bCs/>
          <w:sz w:val="18"/>
          <w:szCs w:val="18"/>
          <w:lang w:val="fr-BE"/>
        </w:rPr>
        <w:tab/>
      </w:r>
      <w:r w:rsidRPr="008C436F">
        <w:rPr>
          <w:b/>
          <w:bCs/>
          <w:sz w:val="18"/>
          <w:szCs w:val="18"/>
          <w:lang w:val="fr-BE"/>
        </w:rPr>
        <w:t xml:space="preserve">Autres médicaments dans la catégorie NO SWITCH </w:t>
      </w:r>
    </w:p>
    <w:p w14:paraId="1DC140E8" w14:textId="34909A8B" w:rsidR="00AB18A6" w:rsidRPr="008C436F" w:rsidRDefault="00AB18A6" w:rsidP="008C436F">
      <w:pPr>
        <w:pStyle w:val="Default"/>
        <w:ind w:right="142"/>
        <w:rPr>
          <w:sz w:val="18"/>
          <w:szCs w:val="18"/>
          <w:lang w:val="fr-BE"/>
        </w:rPr>
      </w:pPr>
      <w:r w:rsidRPr="008C436F">
        <w:rPr>
          <w:sz w:val="18"/>
          <w:szCs w:val="18"/>
          <w:lang w:val="fr-BE"/>
        </w:rPr>
        <w:t xml:space="preserve">D’autres groupes de médicaments doivent être classés comme médicaments NO SWITCH, parce que leur switching (passage d’une spécialité à une autre) pourrait avoir des conséquences néfastes. </w:t>
      </w:r>
    </w:p>
    <w:p w14:paraId="19E3D5A8" w14:textId="77777777" w:rsidR="00AB18A6" w:rsidRPr="008C436F" w:rsidRDefault="00AB18A6" w:rsidP="008C436F">
      <w:pPr>
        <w:pStyle w:val="Default"/>
        <w:rPr>
          <w:sz w:val="18"/>
          <w:szCs w:val="18"/>
          <w:lang w:val="fr-BE"/>
        </w:rPr>
      </w:pPr>
    </w:p>
    <w:p w14:paraId="54884B8C" w14:textId="6FF70F11" w:rsidR="00AB18A6" w:rsidRPr="0064385C" w:rsidRDefault="00AB18A6" w:rsidP="0064385C">
      <w:pPr>
        <w:pStyle w:val="Default"/>
        <w:ind w:firstLine="720"/>
        <w:rPr>
          <w:b/>
          <w:bCs/>
          <w:sz w:val="18"/>
          <w:szCs w:val="18"/>
          <w:lang w:val="fr-BE"/>
        </w:rPr>
      </w:pPr>
      <w:r w:rsidRPr="008C436F">
        <w:rPr>
          <w:b/>
          <w:bCs/>
          <w:sz w:val="18"/>
          <w:szCs w:val="18"/>
          <w:lang w:val="fr-BE"/>
        </w:rPr>
        <w:t>7.2.1</w:t>
      </w:r>
      <w:r w:rsidR="0064385C">
        <w:rPr>
          <w:b/>
          <w:bCs/>
          <w:sz w:val="18"/>
          <w:szCs w:val="18"/>
          <w:lang w:val="fr-BE"/>
        </w:rPr>
        <w:tab/>
      </w:r>
      <w:r w:rsidRPr="008C436F">
        <w:rPr>
          <w:b/>
          <w:bCs/>
          <w:sz w:val="18"/>
          <w:szCs w:val="18"/>
          <w:lang w:val="fr-BE"/>
        </w:rPr>
        <w:t xml:space="preserve">Médicaments oncologiques </w:t>
      </w:r>
    </w:p>
    <w:p w14:paraId="0BC71892" w14:textId="77777777" w:rsidR="00AB18A6" w:rsidRPr="008C436F" w:rsidRDefault="00AB18A6" w:rsidP="008C436F">
      <w:pPr>
        <w:pStyle w:val="Default"/>
        <w:rPr>
          <w:sz w:val="18"/>
          <w:szCs w:val="18"/>
          <w:lang w:val="fr-BE"/>
        </w:rPr>
      </w:pPr>
      <w:r w:rsidRPr="008C436F">
        <w:rPr>
          <w:sz w:val="18"/>
          <w:szCs w:val="18"/>
          <w:lang w:val="fr-BE"/>
        </w:rPr>
        <w:t xml:space="preserve">Les médicaments oncologiques sont des médicaments très toxiques pour lesquels le groupe de travail a jugé que le switching d’un médicament à un autre en cours de traitement est déconseillé. </w:t>
      </w:r>
    </w:p>
    <w:p w14:paraId="7006634A" w14:textId="77777777" w:rsidR="00AB18A6" w:rsidRPr="008C436F" w:rsidRDefault="00AB18A6" w:rsidP="008C436F">
      <w:pPr>
        <w:pStyle w:val="Default"/>
        <w:rPr>
          <w:sz w:val="18"/>
          <w:szCs w:val="18"/>
          <w:lang w:val="fr-BE"/>
        </w:rPr>
      </w:pPr>
    </w:p>
    <w:p w14:paraId="401C0E4F" w14:textId="78AB537F" w:rsidR="00AB18A6" w:rsidRPr="00872243" w:rsidRDefault="00AB18A6" w:rsidP="00872243">
      <w:pPr>
        <w:pStyle w:val="Default"/>
        <w:ind w:firstLine="720"/>
        <w:rPr>
          <w:b/>
          <w:bCs/>
          <w:sz w:val="18"/>
          <w:szCs w:val="18"/>
          <w:lang w:val="fr-BE"/>
        </w:rPr>
      </w:pPr>
      <w:r w:rsidRPr="008C436F">
        <w:rPr>
          <w:b/>
          <w:bCs/>
          <w:sz w:val="18"/>
          <w:szCs w:val="18"/>
          <w:lang w:val="fr-BE"/>
        </w:rPr>
        <w:t>7.2.2</w:t>
      </w:r>
      <w:r w:rsidR="0064385C">
        <w:rPr>
          <w:b/>
          <w:bCs/>
          <w:sz w:val="18"/>
          <w:szCs w:val="18"/>
          <w:lang w:val="fr-BE"/>
        </w:rPr>
        <w:tab/>
      </w:r>
      <w:r w:rsidRPr="008C436F">
        <w:rPr>
          <w:b/>
          <w:bCs/>
          <w:sz w:val="18"/>
          <w:szCs w:val="18"/>
          <w:lang w:val="fr-BE"/>
        </w:rPr>
        <w:t xml:space="preserve">Médicaments antiépileptiques </w:t>
      </w:r>
    </w:p>
    <w:p w14:paraId="0F5DD36E" w14:textId="77777777" w:rsidR="00AB18A6" w:rsidRPr="008C436F" w:rsidRDefault="00AB18A6" w:rsidP="008C436F">
      <w:pPr>
        <w:pStyle w:val="Default"/>
        <w:ind w:right="142"/>
        <w:rPr>
          <w:rFonts w:cs="Times New Roman"/>
          <w:sz w:val="18"/>
          <w:szCs w:val="18"/>
          <w:lang w:val="fr-BE"/>
        </w:rPr>
      </w:pPr>
      <w:r w:rsidRPr="008C436F">
        <w:rPr>
          <w:sz w:val="18"/>
          <w:szCs w:val="18"/>
          <w:lang w:val="fr-BE"/>
        </w:rPr>
        <w:t xml:space="preserve">Les antiépileptiques représentent une classe thérapeutique particulière du fait qu’ils concernent une population vulnérable, difficile à stabiliser et pour laquelle un switch peut avoir un rôle anxiogène propice au déclenchement d’une crise. Cette crise peut avoir un impact important sur la qualité de vie du patient. Par ailleurs, des problèmes ont été rapportés à plusieurs reprises dans la littérature suite à un ou plusieurs switches entre spécialités. Il est par conséquent conseillé de maintenir la même spécialité et d’éviter les changements de formulations en cours de traitement pour l’ensemble de cette classe thérapeutique. Si le switch de formulation ne peut pas être évité, un suivi médical attentif est </w:t>
      </w:r>
      <w:r w:rsidRPr="008C436F">
        <w:rPr>
          <w:sz w:val="18"/>
          <w:szCs w:val="18"/>
          <w:lang w:val="fr-BE"/>
        </w:rPr>
        <w:lastRenderedPageBreak/>
        <w:t>préconisé. Un dialogue entre le médecin et son patient sur la possibilité d’un changement de spécialité permet aussi de vérifier que cette démarche ne suscite pas d’anxiété particulière chez le patient</w:t>
      </w:r>
      <w:r w:rsidRPr="008C436F">
        <w:rPr>
          <w:rFonts w:cs="Times New Roman"/>
          <w:sz w:val="18"/>
          <w:szCs w:val="18"/>
          <w:lang w:val="fr-BE"/>
        </w:rPr>
        <w:t xml:space="preserve">. </w:t>
      </w:r>
    </w:p>
    <w:p w14:paraId="1D84D790" w14:textId="77777777" w:rsidR="00AB18A6" w:rsidRPr="008C436F" w:rsidRDefault="00AB18A6" w:rsidP="008C436F">
      <w:pPr>
        <w:pStyle w:val="Default"/>
        <w:rPr>
          <w:rFonts w:cs="Times New Roman"/>
          <w:sz w:val="18"/>
          <w:szCs w:val="18"/>
          <w:lang w:val="fr-BE"/>
        </w:rPr>
      </w:pPr>
    </w:p>
    <w:p w14:paraId="0C4E766C" w14:textId="77777777" w:rsidR="00AB18A6" w:rsidRPr="008C436F" w:rsidRDefault="00AB18A6" w:rsidP="008C436F">
      <w:pPr>
        <w:pStyle w:val="Default"/>
        <w:ind w:right="142"/>
        <w:rPr>
          <w:sz w:val="18"/>
          <w:szCs w:val="18"/>
          <w:lang w:val="fr-BE"/>
        </w:rPr>
      </w:pPr>
      <w:r w:rsidRPr="008C436F">
        <w:rPr>
          <w:sz w:val="18"/>
          <w:szCs w:val="18"/>
          <w:lang w:val="fr-BE"/>
        </w:rPr>
        <w:t xml:space="preserve">Les antiépileptiques qui ont été définis comme des molécules ayant une marge thérapeutique étroite sont, eux, mentionnés en section 7.1.2. </w:t>
      </w:r>
    </w:p>
    <w:p w14:paraId="3921CF2C" w14:textId="77777777" w:rsidR="00AB18A6" w:rsidRPr="008C436F" w:rsidRDefault="00AB18A6" w:rsidP="008C436F">
      <w:pPr>
        <w:pStyle w:val="Default"/>
        <w:rPr>
          <w:sz w:val="18"/>
          <w:szCs w:val="18"/>
          <w:lang w:val="fr-BE"/>
        </w:rPr>
      </w:pPr>
    </w:p>
    <w:p w14:paraId="61159ED4" w14:textId="0273A418" w:rsidR="00AB18A6" w:rsidRPr="00872243" w:rsidRDefault="00AB18A6" w:rsidP="00872243">
      <w:pPr>
        <w:pStyle w:val="Default"/>
        <w:ind w:firstLine="720"/>
        <w:rPr>
          <w:b/>
          <w:bCs/>
          <w:sz w:val="18"/>
          <w:szCs w:val="18"/>
          <w:lang w:val="fr-BE"/>
        </w:rPr>
      </w:pPr>
      <w:r w:rsidRPr="008C436F">
        <w:rPr>
          <w:b/>
          <w:bCs/>
          <w:sz w:val="18"/>
          <w:szCs w:val="18"/>
          <w:lang w:val="fr-BE"/>
        </w:rPr>
        <w:t>7.2.3</w:t>
      </w:r>
      <w:r w:rsidR="00872243">
        <w:rPr>
          <w:b/>
          <w:bCs/>
          <w:sz w:val="18"/>
          <w:szCs w:val="18"/>
          <w:lang w:val="fr-BE"/>
        </w:rPr>
        <w:tab/>
      </w:r>
      <w:r w:rsidRPr="008C436F">
        <w:rPr>
          <w:b/>
          <w:bCs/>
          <w:sz w:val="18"/>
          <w:szCs w:val="18"/>
          <w:lang w:val="fr-BE"/>
        </w:rPr>
        <w:t xml:space="preserve">Systèmes transdermiques </w:t>
      </w:r>
    </w:p>
    <w:p w14:paraId="157B0EAC" w14:textId="5BD50FF7" w:rsidR="00AB18A6" w:rsidRPr="008C436F" w:rsidRDefault="00AB18A6" w:rsidP="008C436F">
      <w:pPr>
        <w:pStyle w:val="Default"/>
        <w:ind w:right="142"/>
        <w:rPr>
          <w:sz w:val="18"/>
          <w:szCs w:val="18"/>
          <w:lang w:val="fr-BE"/>
        </w:rPr>
      </w:pPr>
      <w:r w:rsidRPr="008C436F">
        <w:rPr>
          <w:sz w:val="18"/>
          <w:szCs w:val="18"/>
          <w:lang w:val="fr-BE"/>
        </w:rPr>
        <w:t xml:space="preserve">Les différents systèmes transdermiques à base d’une même substance active sont différents en termes de taille mais aussi en termes de durée d’application (24 heures ou 72 heures). </w:t>
      </w:r>
    </w:p>
    <w:p w14:paraId="17D25285" w14:textId="7AB47F58" w:rsidR="00AB18A6" w:rsidRPr="008C436F" w:rsidRDefault="00AB18A6" w:rsidP="008C436F">
      <w:pPr>
        <w:pStyle w:val="Default"/>
        <w:ind w:right="142"/>
        <w:rPr>
          <w:sz w:val="18"/>
          <w:szCs w:val="18"/>
          <w:lang w:val="fr-BE"/>
        </w:rPr>
      </w:pPr>
    </w:p>
    <w:p w14:paraId="2CEEA64A" w14:textId="77777777" w:rsidR="00AB18A6" w:rsidRPr="008C436F" w:rsidRDefault="00AB18A6" w:rsidP="008C436F">
      <w:pPr>
        <w:pStyle w:val="Default"/>
        <w:rPr>
          <w:sz w:val="18"/>
          <w:szCs w:val="18"/>
          <w:lang w:val="fr-BE"/>
        </w:rPr>
      </w:pPr>
    </w:p>
    <w:p w14:paraId="5A6E3B80" w14:textId="7030941F" w:rsidR="00AB18A6" w:rsidRPr="00872243" w:rsidRDefault="00AB18A6" w:rsidP="00872243">
      <w:pPr>
        <w:pStyle w:val="Default"/>
        <w:ind w:firstLine="720"/>
        <w:rPr>
          <w:b/>
          <w:bCs/>
          <w:sz w:val="18"/>
          <w:szCs w:val="18"/>
          <w:lang w:val="fr-BE"/>
        </w:rPr>
      </w:pPr>
      <w:r w:rsidRPr="008C436F">
        <w:rPr>
          <w:b/>
          <w:bCs/>
          <w:sz w:val="18"/>
          <w:szCs w:val="18"/>
          <w:lang w:val="fr-BE"/>
        </w:rPr>
        <w:t>7.2.4</w:t>
      </w:r>
      <w:r w:rsidR="00872243">
        <w:rPr>
          <w:b/>
          <w:bCs/>
          <w:sz w:val="18"/>
          <w:szCs w:val="18"/>
          <w:lang w:val="fr-BE"/>
        </w:rPr>
        <w:tab/>
      </w:r>
      <w:r w:rsidRPr="008C436F">
        <w:rPr>
          <w:b/>
          <w:bCs/>
          <w:sz w:val="18"/>
          <w:szCs w:val="18"/>
          <w:lang w:val="fr-BE"/>
        </w:rPr>
        <w:t xml:space="preserve">Produits à usage local </w:t>
      </w:r>
    </w:p>
    <w:p w14:paraId="51ED7670" w14:textId="77777777" w:rsidR="00AB18A6" w:rsidRPr="008C436F" w:rsidRDefault="00AB18A6" w:rsidP="008C436F">
      <w:pPr>
        <w:pStyle w:val="Default"/>
        <w:ind w:right="142"/>
        <w:rPr>
          <w:sz w:val="18"/>
          <w:szCs w:val="18"/>
          <w:lang w:val="fr-BE"/>
        </w:rPr>
      </w:pPr>
      <w:r w:rsidRPr="008C436F">
        <w:rPr>
          <w:sz w:val="18"/>
          <w:szCs w:val="18"/>
          <w:lang w:val="fr-BE"/>
        </w:rPr>
        <w:t xml:space="preserve">Les médicaments à usage local ne sont pas considérés comme interchangeables car ils ont prouvé leur efficacité sans prouver leur équivalence thérapeutique par rapport aux autres médicaments qui peuvent contenir d’autres excipients, importants pour la résorption. </w:t>
      </w:r>
    </w:p>
    <w:p w14:paraId="1DE597D5" w14:textId="77777777" w:rsidR="00AB18A6" w:rsidRPr="00872243" w:rsidRDefault="00AB18A6" w:rsidP="00872243">
      <w:pPr>
        <w:pStyle w:val="Default"/>
        <w:ind w:firstLine="720"/>
        <w:rPr>
          <w:b/>
          <w:bCs/>
          <w:sz w:val="18"/>
          <w:szCs w:val="18"/>
          <w:lang w:val="fr-BE"/>
        </w:rPr>
      </w:pPr>
    </w:p>
    <w:p w14:paraId="0BFE847F" w14:textId="16CC1CA6" w:rsidR="00AB18A6" w:rsidRPr="00872243" w:rsidRDefault="00AB18A6" w:rsidP="00872243">
      <w:pPr>
        <w:pStyle w:val="Default"/>
        <w:ind w:firstLine="720"/>
        <w:rPr>
          <w:b/>
          <w:bCs/>
          <w:sz w:val="18"/>
          <w:szCs w:val="18"/>
          <w:lang w:val="fr-BE"/>
        </w:rPr>
      </w:pPr>
      <w:r w:rsidRPr="008C436F">
        <w:rPr>
          <w:b/>
          <w:bCs/>
          <w:sz w:val="18"/>
          <w:szCs w:val="18"/>
          <w:lang w:val="fr-BE"/>
        </w:rPr>
        <w:t>7.2.5</w:t>
      </w:r>
      <w:r w:rsidR="00872243">
        <w:rPr>
          <w:b/>
          <w:bCs/>
          <w:sz w:val="18"/>
          <w:szCs w:val="18"/>
          <w:lang w:val="fr-BE"/>
        </w:rPr>
        <w:tab/>
      </w:r>
      <w:r w:rsidRPr="008C436F">
        <w:rPr>
          <w:b/>
          <w:bCs/>
          <w:sz w:val="18"/>
          <w:szCs w:val="18"/>
          <w:lang w:val="fr-BE"/>
        </w:rPr>
        <w:t xml:space="preserve">Contraceptifs oraux </w:t>
      </w:r>
    </w:p>
    <w:p w14:paraId="7D0CA54B" w14:textId="7DB07957" w:rsidR="00AB18A6" w:rsidRPr="008C436F" w:rsidRDefault="00AB18A6" w:rsidP="008C436F">
      <w:pPr>
        <w:pStyle w:val="Default"/>
        <w:rPr>
          <w:sz w:val="18"/>
          <w:szCs w:val="18"/>
          <w:lang w:val="fr-BE"/>
        </w:rPr>
      </w:pPr>
      <w:r w:rsidRPr="008C436F">
        <w:rPr>
          <w:sz w:val="18"/>
          <w:szCs w:val="18"/>
          <w:lang w:val="fr-BE"/>
        </w:rPr>
        <w:t xml:space="preserve">Il est préférable que les patientes utilisent toujours la même pilule et le même modèle de conditionnement mensuel (blister). </w:t>
      </w:r>
    </w:p>
    <w:p w14:paraId="692E31AB" w14:textId="77777777" w:rsidR="00AB18A6" w:rsidRPr="008C436F" w:rsidRDefault="00AB18A6" w:rsidP="008C436F">
      <w:pPr>
        <w:pStyle w:val="Default"/>
        <w:rPr>
          <w:sz w:val="18"/>
          <w:szCs w:val="18"/>
          <w:lang w:val="fr-BE"/>
        </w:rPr>
      </w:pPr>
    </w:p>
    <w:p w14:paraId="2C345E0A" w14:textId="7FE2A113" w:rsidR="00AB18A6" w:rsidRPr="00872243" w:rsidRDefault="00AB18A6" w:rsidP="00872243">
      <w:pPr>
        <w:pStyle w:val="Default"/>
        <w:ind w:firstLine="720"/>
        <w:rPr>
          <w:b/>
          <w:bCs/>
          <w:sz w:val="18"/>
          <w:szCs w:val="18"/>
          <w:lang w:val="fr-BE"/>
        </w:rPr>
      </w:pPr>
      <w:r w:rsidRPr="008C436F">
        <w:rPr>
          <w:b/>
          <w:bCs/>
          <w:sz w:val="18"/>
          <w:szCs w:val="18"/>
          <w:lang w:val="fr-BE"/>
        </w:rPr>
        <w:t>7.2.6</w:t>
      </w:r>
      <w:r w:rsidR="00872243">
        <w:rPr>
          <w:b/>
          <w:bCs/>
          <w:sz w:val="18"/>
          <w:szCs w:val="18"/>
          <w:lang w:val="fr-BE"/>
        </w:rPr>
        <w:tab/>
      </w:r>
      <w:r w:rsidRPr="008C436F">
        <w:rPr>
          <w:b/>
          <w:bCs/>
          <w:sz w:val="18"/>
          <w:szCs w:val="18"/>
          <w:lang w:val="fr-BE"/>
        </w:rPr>
        <w:t xml:space="preserve">Préparations pour inhalation à usage pulmonaire </w:t>
      </w:r>
    </w:p>
    <w:p w14:paraId="70087534" w14:textId="1A6BDB98" w:rsidR="00AB18A6" w:rsidRPr="008C436F" w:rsidRDefault="00AB18A6" w:rsidP="008C436F">
      <w:pPr>
        <w:pStyle w:val="Default"/>
        <w:ind w:right="142"/>
        <w:rPr>
          <w:sz w:val="18"/>
          <w:szCs w:val="18"/>
          <w:lang w:val="fr-BE"/>
        </w:rPr>
      </w:pPr>
      <w:r w:rsidRPr="008C436F">
        <w:rPr>
          <w:sz w:val="18"/>
          <w:szCs w:val="18"/>
          <w:lang w:val="fr-BE"/>
        </w:rPr>
        <w:t>Il est préférable que tous les médicaments pour inhalation (p</w:t>
      </w:r>
      <w:r w:rsidR="00872243">
        <w:rPr>
          <w:sz w:val="18"/>
          <w:szCs w:val="18"/>
          <w:lang w:val="fr-BE"/>
        </w:rPr>
        <w:t>ar exemple</w:t>
      </w:r>
      <w:r w:rsidRPr="008C436F">
        <w:rPr>
          <w:sz w:val="18"/>
          <w:szCs w:val="18"/>
          <w:lang w:val="fr-BE"/>
        </w:rPr>
        <w:t xml:space="preserve"> nébulisation, poudres sèches et aérosols) ne soient pas interchangés, une fois le traitement initié. Cette recommandation est motivée par les autorités américaines : </w:t>
      </w:r>
    </w:p>
    <w:p w14:paraId="0F85485A" w14:textId="77777777" w:rsidR="00AB18A6" w:rsidRPr="008C436F" w:rsidRDefault="00AB18A6" w:rsidP="008C436F">
      <w:pPr>
        <w:pStyle w:val="Default"/>
        <w:ind w:right="142"/>
        <w:rPr>
          <w:sz w:val="18"/>
          <w:szCs w:val="18"/>
          <w:lang w:val="fr-BE"/>
        </w:rPr>
      </w:pPr>
    </w:p>
    <w:p w14:paraId="07354CF0" w14:textId="4CA15E1F" w:rsidR="00AB18A6" w:rsidRDefault="00872243" w:rsidP="008C436F">
      <w:pPr>
        <w:spacing w:after="0" w:line="240" w:lineRule="auto"/>
        <w:ind w:left="720"/>
        <w:rPr>
          <w:rFonts w:ascii="Verdana" w:hAnsi="Verdana"/>
          <w:sz w:val="18"/>
          <w:szCs w:val="18"/>
          <w:lang w:val="fr-BE"/>
        </w:rPr>
      </w:pPr>
      <w:r>
        <w:rPr>
          <w:rFonts w:ascii="Verdana" w:hAnsi="Verdana"/>
          <w:sz w:val="18"/>
          <w:szCs w:val="18"/>
          <w:lang w:val="fr-BE"/>
        </w:rPr>
        <w:t>« </w:t>
      </w:r>
      <w:r w:rsidR="00AB18A6" w:rsidRPr="008C436F">
        <w:rPr>
          <w:rFonts w:ascii="Verdana" w:hAnsi="Verdana"/>
          <w:sz w:val="18"/>
          <w:szCs w:val="18"/>
          <w:lang w:val="fr-BE"/>
        </w:rPr>
        <w:t>There may be significant differences in the dose of drug and particle size delivered by different products of this type. Therefore, the Agency (FDA) does not consider different metered aerosol dosage forms containing the same active ingredient in equal strengths to be therapeutically equivalent unless the drug products meet an appropriate bioequivalence standard (FDA Approved drug products with therapeutic equivalence evaluations, 34th edition, 2014).</w:t>
      </w:r>
      <w:r>
        <w:rPr>
          <w:rFonts w:ascii="Verdana" w:hAnsi="Verdana"/>
          <w:sz w:val="18"/>
          <w:szCs w:val="18"/>
          <w:lang w:val="fr-BE"/>
        </w:rPr>
        <w:t> »</w:t>
      </w:r>
    </w:p>
    <w:p w14:paraId="65A4A4B9" w14:textId="77777777" w:rsidR="00872243" w:rsidRPr="008C436F" w:rsidRDefault="00872243" w:rsidP="008C436F">
      <w:pPr>
        <w:spacing w:after="0" w:line="240" w:lineRule="auto"/>
        <w:ind w:left="720"/>
        <w:rPr>
          <w:rFonts w:ascii="Verdana" w:hAnsi="Verdana"/>
          <w:sz w:val="18"/>
          <w:szCs w:val="18"/>
          <w:lang w:val="fr-BE"/>
        </w:rPr>
      </w:pPr>
    </w:p>
    <w:p w14:paraId="22D5350F" w14:textId="785048C3" w:rsidR="00AB18A6" w:rsidRDefault="00AB18A6" w:rsidP="008C436F">
      <w:pPr>
        <w:spacing w:after="0" w:line="240" w:lineRule="auto"/>
        <w:rPr>
          <w:rFonts w:ascii="Verdana" w:hAnsi="Verdana"/>
          <w:sz w:val="18"/>
          <w:szCs w:val="18"/>
          <w:lang w:val="fr-BE"/>
        </w:rPr>
      </w:pPr>
      <w:r w:rsidRPr="008C436F">
        <w:rPr>
          <w:rFonts w:ascii="Verdana" w:hAnsi="Verdana"/>
          <w:sz w:val="18"/>
          <w:szCs w:val="18"/>
          <w:lang w:val="fr-BE"/>
        </w:rPr>
        <w:t>En outre, il existe des différences importantes entre les dispositifs de délivrance, qui en rendent la manipulation délicate.</w:t>
      </w:r>
    </w:p>
    <w:p w14:paraId="3B044ED6" w14:textId="77777777" w:rsidR="00872243" w:rsidRPr="008C436F" w:rsidRDefault="00872243" w:rsidP="008C436F">
      <w:pPr>
        <w:spacing w:after="0" w:line="240" w:lineRule="auto"/>
        <w:rPr>
          <w:rFonts w:ascii="Verdana" w:hAnsi="Verdana"/>
          <w:sz w:val="18"/>
          <w:szCs w:val="18"/>
          <w:lang w:val="fr-BE"/>
        </w:rPr>
      </w:pPr>
    </w:p>
    <w:p w14:paraId="686137D2" w14:textId="47B4978B" w:rsidR="00AB18A6" w:rsidRPr="00872243" w:rsidRDefault="00AB18A6" w:rsidP="00872243">
      <w:pPr>
        <w:pStyle w:val="Default"/>
        <w:ind w:firstLine="720"/>
        <w:rPr>
          <w:b/>
          <w:bCs/>
          <w:sz w:val="18"/>
          <w:szCs w:val="18"/>
          <w:lang w:val="fr-BE"/>
        </w:rPr>
      </w:pPr>
      <w:r w:rsidRPr="008C436F">
        <w:rPr>
          <w:b/>
          <w:bCs/>
          <w:sz w:val="18"/>
          <w:szCs w:val="18"/>
          <w:lang w:val="fr-BE"/>
        </w:rPr>
        <w:t>7.2.7</w:t>
      </w:r>
      <w:r w:rsidR="00872243">
        <w:rPr>
          <w:b/>
          <w:bCs/>
          <w:sz w:val="18"/>
          <w:szCs w:val="18"/>
          <w:lang w:val="fr-BE"/>
        </w:rPr>
        <w:tab/>
      </w:r>
      <w:r w:rsidRPr="008C436F">
        <w:rPr>
          <w:b/>
          <w:bCs/>
          <w:sz w:val="18"/>
          <w:szCs w:val="18"/>
          <w:lang w:val="fr-BE"/>
        </w:rPr>
        <w:t xml:space="preserve">Mésalazine </w:t>
      </w:r>
    </w:p>
    <w:p w14:paraId="74A7560B" w14:textId="77777777" w:rsidR="00AB18A6" w:rsidRPr="008C436F" w:rsidRDefault="00AB18A6" w:rsidP="008C436F">
      <w:pPr>
        <w:pStyle w:val="Default"/>
        <w:rPr>
          <w:sz w:val="18"/>
          <w:szCs w:val="18"/>
          <w:lang w:val="fr-BE"/>
        </w:rPr>
      </w:pPr>
      <w:r w:rsidRPr="008C436F">
        <w:rPr>
          <w:sz w:val="18"/>
          <w:szCs w:val="18"/>
          <w:lang w:val="fr-BE"/>
        </w:rPr>
        <w:t xml:space="preserve">Il est également proposé de classer la mésalazine dans la catégorie NO SWITCH, sur la base des données présentes dans la littérature et des recommandations des autorités américaines : </w:t>
      </w:r>
    </w:p>
    <w:p w14:paraId="529CCD45" w14:textId="77777777" w:rsidR="00AB18A6" w:rsidRPr="008C436F" w:rsidRDefault="00AB18A6" w:rsidP="008C436F">
      <w:pPr>
        <w:pStyle w:val="Default"/>
        <w:ind w:left="720" w:right="142"/>
        <w:rPr>
          <w:sz w:val="18"/>
          <w:szCs w:val="18"/>
          <w:lang w:val="fr-BE"/>
        </w:rPr>
      </w:pPr>
    </w:p>
    <w:p w14:paraId="647BB1D9" w14:textId="60C5DF93" w:rsidR="00AB18A6" w:rsidRDefault="00BC638A" w:rsidP="008C436F">
      <w:pPr>
        <w:pStyle w:val="Default"/>
        <w:ind w:left="720" w:right="142"/>
        <w:rPr>
          <w:sz w:val="18"/>
          <w:szCs w:val="18"/>
          <w:lang w:val="fr-BE"/>
        </w:rPr>
      </w:pPr>
      <w:r>
        <w:rPr>
          <w:sz w:val="18"/>
          <w:szCs w:val="18"/>
          <w:lang w:val="fr-BE"/>
        </w:rPr>
        <w:t>« </w:t>
      </w:r>
      <w:r w:rsidR="00AB18A6" w:rsidRPr="008C436F">
        <w:rPr>
          <w:sz w:val="18"/>
          <w:szCs w:val="18"/>
          <w:lang w:val="fr-BE"/>
        </w:rPr>
        <w:t>Because the release characteristics of different formulations of mesalazine vary, they should not be regarded as interchangeable (Forbes A, Chadwick C. Mesalazine preparations. Lancet 1997; 350: 1329). This applies even to those formulations where the dosage is apparently similar (Benbow AG, Gould I. Mesalazine preparations. Lancet 1998; 351: 68).</w:t>
      </w:r>
    </w:p>
    <w:p w14:paraId="221EE465" w14:textId="77777777" w:rsidR="00BC638A" w:rsidRPr="008C436F" w:rsidRDefault="00BC638A" w:rsidP="008C436F">
      <w:pPr>
        <w:pStyle w:val="Default"/>
        <w:ind w:left="720" w:right="142"/>
        <w:rPr>
          <w:sz w:val="18"/>
          <w:szCs w:val="18"/>
          <w:lang w:val="fr-BE"/>
        </w:rPr>
      </w:pPr>
    </w:p>
    <w:p w14:paraId="7862AD3E" w14:textId="6D63460D" w:rsidR="00AB18A6" w:rsidRPr="008C436F" w:rsidRDefault="00AB18A6" w:rsidP="008C436F">
      <w:pPr>
        <w:pStyle w:val="Default"/>
        <w:ind w:left="720" w:right="142"/>
        <w:rPr>
          <w:sz w:val="18"/>
          <w:szCs w:val="18"/>
          <w:lang w:val="fr-BE"/>
        </w:rPr>
      </w:pPr>
      <w:r w:rsidRPr="008C436F">
        <w:rPr>
          <w:sz w:val="18"/>
          <w:szCs w:val="18"/>
          <w:lang w:val="fr-BE"/>
        </w:rPr>
        <w:t>Mesalazine is a drug product that FDA, at this time, considers not to be therapeutically equivalent to other pharmaceutically equivalent products. Mesalazine is a topical product evaluated as having acceptable clinical performance, but that is not bioequivalent to other pharmaceutically equivalent products or that lacks sufficient evidence of bioequivalence (FDA approved drug products with therapeutic equivalence evaluations, 34th Edition, 2014).</w:t>
      </w:r>
      <w:r w:rsidR="00BC638A">
        <w:rPr>
          <w:sz w:val="18"/>
          <w:szCs w:val="18"/>
          <w:lang w:val="fr-BE"/>
        </w:rPr>
        <w:t> »</w:t>
      </w:r>
    </w:p>
    <w:p w14:paraId="7C9D1470" w14:textId="77777777" w:rsidR="00AB18A6" w:rsidRPr="008C436F" w:rsidRDefault="00AB18A6" w:rsidP="008C436F">
      <w:pPr>
        <w:pStyle w:val="Default"/>
        <w:rPr>
          <w:b/>
          <w:bCs/>
          <w:sz w:val="18"/>
          <w:szCs w:val="18"/>
          <w:lang w:val="fr-BE"/>
        </w:rPr>
      </w:pPr>
    </w:p>
    <w:p w14:paraId="312602B3" w14:textId="1D147564" w:rsidR="00AB18A6" w:rsidRPr="008C436F" w:rsidRDefault="00AB18A6" w:rsidP="008C436F">
      <w:pPr>
        <w:pStyle w:val="Default"/>
        <w:rPr>
          <w:b/>
          <w:bCs/>
          <w:sz w:val="18"/>
          <w:szCs w:val="18"/>
          <w:lang w:val="fr-BE"/>
        </w:rPr>
      </w:pPr>
      <w:r w:rsidRPr="008C436F">
        <w:rPr>
          <w:b/>
          <w:bCs/>
          <w:sz w:val="18"/>
          <w:szCs w:val="18"/>
          <w:lang w:val="fr-BE"/>
        </w:rPr>
        <w:t>7.3</w:t>
      </w:r>
      <w:r w:rsidR="00BC638A">
        <w:rPr>
          <w:b/>
          <w:bCs/>
          <w:sz w:val="18"/>
          <w:szCs w:val="18"/>
          <w:lang w:val="fr-BE"/>
        </w:rPr>
        <w:tab/>
      </w:r>
      <w:r w:rsidRPr="008C436F">
        <w:rPr>
          <w:b/>
          <w:bCs/>
          <w:sz w:val="18"/>
          <w:szCs w:val="18"/>
          <w:lang w:val="fr-BE"/>
        </w:rPr>
        <w:t xml:space="preserve">Cas spécifique des </w:t>
      </w:r>
      <w:r w:rsidR="00DE3244">
        <w:rPr>
          <w:b/>
          <w:bCs/>
          <w:sz w:val="18"/>
          <w:szCs w:val="18"/>
          <w:lang w:val="fr-BE"/>
        </w:rPr>
        <w:t xml:space="preserve">médicaments </w:t>
      </w:r>
      <w:r w:rsidRPr="008C436F">
        <w:rPr>
          <w:b/>
          <w:bCs/>
          <w:sz w:val="18"/>
          <w:szCs w:val="18"/>
          <w:lang w:val="fr-BE"/>
        </w:rPr>
        <w:t>biosimilaires</w:t>
      </w:r>
    </w:p>
    <w:p w14:paraId="00EF9EA2" w14:textId="261C7688" w:rsidR="00AB18A6" w:rsidRPr="00DE3244" w:rsidRDefault="00AB18A6" w:rsidP="00BC638A">
      <w:pPr>
        <w:pStyle w:val="Default"/>
        <w:rPr>
          <w:sz w:val="18"/>
          <w:szCs w:val="18"/>
          <w:lang w:val="fr-BE"/>
        </w:rPr>
      </w:pPr>
      <w:r w:rsidRPr="00DE3244">
        <w:rPr>
          <w:sz w:val="18"/>
          <w:szCs w:val="18"/>
          <w:lang w:val="fr-BE"/>
        </w:rPr>
        <w:t xml:space="preserve">En avril 2023, l’EMA a rédigé en collaboration avec le </w:t>
      </w:r>
      <w:r w:rsidR="00DE3244" w:rsidRPr="00DE3244">
        <w:rPr>
          <w:sz w:val="18"/>
          <w:szCs w:val="18"/>
          <w:lang w:val="fr-BE"/>
        </w:rPr>
        <w:t>réseau des directeurs des autorités compétentes nationales (Heads of Medicines Agencies, HMA)</w:t>
      </w:r>
      <w:r w:rsidRPr="00DE3244">
        <w:rPr>
          <w:sz w:val="18"/>
          <w:szCs w:val="18"/>
          <w:lang w:val="fr-BE"/>
        </w:rPr>
        <w:t xml:space="preserve">, un nouveau communiqué concernant l’ interchangeabilité des </w:t>
      </w:r>
      <w:r w:rsidR="008A52D7">
        <w:rPr>
          <w:sz w:val="18"/>
          <w:szCs w:val="18"/>
          <w:lang w:val="fr-BE"/>
        </w:rPr>
        <w:t xml:space="preserve">médicaments </w:t>
      </w:r>
      <w:r w:rsidRPr="00DE3244">
        <w:rPr>
          <w:sz w:val="18"/>
          <w:szCs w:val="18"/>
          <w:lang w:val="fr-BE"/>
        </w:rPr>
        <w:t xml:space="preserve">biosimilaires: </w:t>
      </w:r>
    </w:p>
    <w:p w14:paraId="03A56A5F" w14:textId="77777777" w:rsidR="00AB18A6" w:rsidRPr="00DE3244" w:rsidRDefault="00AB18A6" w:rsidP="00BC638A">
      <w:pPr>
        <w:pStyle w:val="Default"/>
        <w:rPr>
          <w:sz w:val="18"/>
          <w:szCs w:val="18"/>
          <w:lang w:val="fr-BE"/>
        </w:rPr>
      </w:pPr>
    </w:p>
    <w:p w14:paraId="7BEE76DB" w14:textId="115A132D" w:rsidR="00AB18A6" w:rsidRPr="00DE3244" w:rsidRDefault="00DE3244" w:rsidP="00BC638A">
      <w:pPr>
        <w:autoSpaceDE w:val="0"/>
        <w:autoSpaceDN w:val="0"/>
        <w:adjustRightInd w:val="0"/>
        <w:spacing w:after="0" w:line="240" w:lineRule="auto"/>
        <w:ind w:left="720"/>
        <w:rPr>
          <w:rFonts w:ascii="Verdana" w:hAnsi="Verdana" w:cs="Verdana"/>
          <w:sz w:val="18"/>
          <w:szCs w:val="18"/>
          <w:lang w:val="fr-BE"/>
        </w:rPr>
      </w:pPr>
      <w:r>
        <w:rPr>
          <w:rFonts w:ascii="Verdana" w:hAnsi="Verdana"/>
          <w:sz w:val="18"/>
          <w:szCs w:val="18"/>
          <w:lang w:val="fr-BE"/>
        </w:rPr>
        <w:t>« </w:t>
      </w:r>
      <w:r w:rsidR="00AB18A6" w:rsidRPr="00DE3244">
        <w:rPr>
          <w:rFonts w:ascii="Verdana" w:hAnsi="Verdana"/>
          <w:sz w:val="18"/>
          <w:szCs w:val="18"/>
          <w:lang w:val="fr-BE"/>
        </w:rPr>
        <w:t xml:space="preserve">HMA and EMA consider that once a biosimilar is approved in the EU it is interchangeable, which means that biosimilar can be used instead of its reference product (or vice versa) or one biosimilar can be replaced with another biosimilar of the same reference product. </w:t>
      </w:r>
      <w:r w:rsidR="00AB18A6" w:rsidRPr="00DE3244">
        <w:rPr>
          <w:rFonts w:ascii="Verdana" w:hAnsi="Verdana" w:cs="Verdana"/>
          <w:sz w:val="18"/>
          <w:szCs w:val="18"/>
          <w:lang w:val="fr-BE"/>
        </w:rPr>
        <w:t>Interchange should only take place after careful consideration of the approved conditions of use (i.e., consulting the most recent product information).</w:t>
      </w:r>
      <w:r>
        <w:rPr>
          <w:rFonts w:ascii="Verdana" w:hAnsi="Verdana" w:cs="Verdana"/>
          <w:sz w:val="18"/>
          <w:szCs w:val="18"/>
          <w:lang w:val="fr-BE"/>
        </w:rPr>
        <w:t> »</w:t>
      </w:r>
    </w:p>
    <w:p w14:paraId="0652ABAD" w14:textId="77777777" w:rsidR="00AB18A6" w:rsidRPr="008C436F" w:rsidRDefault="00AB18A6" w:rsidP="00BC638A">
      <w:pPr>
        <w:autoSpaceDE w:val="0"/>
        <w:autoSpaceDN w:val="0"/>
        <w:adjustRightInd w:val="0"/>
        <w:spacing w:after="0" w:line="240" w:lineRule="auto"/>
        <w:ind w:left="720"/>
        <w:rPr>
          <w:rFonts w:ascii="Verdana" w:hAnsi="Verdana" w:cs="Verdana"/>
          <w:i/>
          <w:iCs/>
          <w:sz w:val="18"/>
          <w:szCs w:val="18"/>
          <w:lang w:val="fr-BE"/>
        </w:rPr>
      </w:pPr>
    </w:p>
    <w:p w14:paraId="2C90C6AB" w14:textId="3859E2FE" w:rsidR="00AB18A6" w:rsidRPr="008C436F" w:rsidRDefault="00AB18A6" w:rsidP="00BC638A">
      <w:pPr>
        <w:pStyle w:val="Default"/>
        <w:rPr>
          <w:sz w:val="18"/>
          <w:szCs w:val="18"/>
          <w:lang w:val="fr-BE"/>
        </w:rPr>
      </w:pPr>
      <w:r w:rsidRPr="008C436F">
        <w:rPr>
          <w:sz w:val="18"/>
          <w:szCs w:val="18"/>
          <w:lang w:val="fr-BE"/>
        </w:rPr>
        <w:t xml:space="preserve">Ceci signifie que le switch est envisageable entre un médicament biosimilaire et son produit de référence car des données comparatives ont démontré une équivalence thérapeutique entre ces deux produits. L’EMA étend cette possibilité de switch entre </w:t>
      </w:r>
      <w:r w:rsidR="00DE3244">
        <w:rPr>
          <w:sz w:val="18"/>
          <w:szCs w:val="18"/>
          <w:lang w:val="fr-BE"/>
        </w:rPr>
        <w:t xml:space="preserve">médicaments </w:t>
      </w:r>
      <w:r w:rsidRPr="008C436F">
        <w:rPr>
          <w:sz w:val="18"/>
          <w:szCs w:val="18"/>
          <w:lang w:val="fr-BE"/>
        </w:rPr>
        <w:t xml:space="preserve">biosimilaires d’un même produit de référence. </w:t>
      </w:r>
    </w:p>
    <w:p w14:paraId="49225826" w14:textId="77777777" w:rsidR="00AB18A6" w:rsidRPr="008C436F" w:rsidRDefault="00AB18A6" w:rsidP="00BC638A">
      <w:pPr>
        <w:pStyle w:val="Default"/>
        <w:rPr>
          <w:b/>
          <w:bCs/>
          <w:sz w:val="18"/>
          <w:szCs w:val="18"/>
          <w:lang w:val="fr-BE"/>
        </w:rPr>
      </w:pPr>
    </w:p>
    <w:p w14:paraId="340A6DE0" w14:textId="77777777" w:rsidR="00741208" w:rsidRDefault="00741208">
      <w:pPr>
        <w:rPr>
          <w:rFonts w:ascii="Verdana" w:hAnsi="Verdana" w:cs="Verdana"/>
          <w:color w:val="000000"/>
          <w:sz w:val="18"/>
          <w:szCs w:val="18"/>
          <w:lang w:val="fr-BE"/>
        </w:rPr>
      </w:pPr>
      <w:r>
        <w:rPr>
          <w:sz w:val="18"/>
          <w:szCs w:val="18"/>
          <w:lang w:val="fr-BE"/>
        </w:rPr>
        <w:br w:type="page"/>
      </w:r>
    </w:p>
    <w:p w14:paraId="3E183F33" w14:textId="65F294D9" w:rsidR="00741208" w:rsidRDefault="00AB18A6" w:rsidP="00741208">
      <w:pPr>
        <w:pStyle w:val="Default"/>
        <w:rPr>
          <w:rStyle w:val="Hyperlink"/>
          <w:sz w:val="18"/>
          <w:szCs w:val="18"/>
          <w:lang w:val="fr-BE"/>
        </w:rPr>
      </w:pPr>
      <w:r w:rsidRPr="008C436F">
        <w:rPr>
          <w:sz w:val="18"/>
          <w:szCs w:val="18"/>
          <w:lang w:val="fr-BE"/>
        </w:rPr>
        <w:lastRenderedPageBreak/>
        <w:t xml:space="preserve">La déclaration commune de l’EMA et du HMA du 21 avril 2023 (dernière mise à jour) est disponible </w:t>
      </w:r>
      <w:hyperlink r:id="rId9" w:anchor=":~:text=EMA%20and%20the%20Heads%20of,or%20with%20an%20equivalent%20biosimilar." w:history="1">
        <w:r w:rsidRPr="008C436F">
          <w:rPr>
            <w:rStyle w:val="Hyperlink"/>
            <w:sz w:val="18"/>
            <w:szCs w:val="18"/>
            <w:lang w:val="fr-BE"/>
          </w:rPr>
          <w:t>sur le site de l’ EMA.</w:t>
        </w:r>
      </w:hyperlink>
    </w:p>
    <w:p w14:paraId="264540B8" w14:textId="77777777" w:rsidR="00741208" w:rsidRDefault="00741208" w:rsidP="00741208">
      <w:pPr>
        <w:pStyle w:val="Default"/>
        <w:rPr>
          <w:rStyle w:val="Hyperlink"/>
          <w:sz w:val="18"/>
          <w:szCs w:val="18"/>
          <w:lang w:val="fr-BE"/>
        </w:rPr>
      </w:pPr>
    </w:p>
    <w:p w14:paraId="240C8D7D" w14:textId="77777777" w:rsidR="00741208" w:rsidRDefault="00741208" w:rsidP="00741208">
      <w:pPr>
        <w:pStyle w:val="Default"/>
        <w:rPr>
          <w:rStyle w:val="Hyperlink"/>
          <w:sz w:val="18"/>
          <w:szCs w:val="18"/>
          <w:lang w:val="fr-BE"/>
        </w:rPr>
      </w:pPr>
    </w:p>
    <w:p w14:paraId="24ED58A0" w14:textId="28AA58B3" w:rsidR="00AB18A6" w:rsidRPr="008C436F" w:rsidRDefault="00AB18A6" w:rsidP="001D31F6">
      <w:pPr>
        <w:pStyle w:val="Default"/>
        <w:numPr>
          <w:ilvl w:val="0"/>
          <w:numId w:val="1"/>
        </w:numPr>
        <w:ind w:left="426" w:hanging="426"/>
        <w:rPr>
          <w:b/>
          <w:bCs/>
          <w:color w:val="5B9BD3"/>
          <w:sz w:val="22"/>
          <w:szCs w:val="18"/>
          <w:lang w:val="fr-BE"/>
        </w:rPr>
      </w:pPr>
      <w:r w:rsidRPr="008C436F">
        <w:rPr>
          <w:b/>
          <w:bCs/>
          <w:color w:val="5B9BD3"/>
          <w:sz w:val="22"/>
          <w:szCs w:val="18"/>
          <w:lang w:val="fr-BE"/>
        </w:rPr>
        <w:t xml:space="preserve">Sels, esters ou complexes d’une même substance active </w:t>
      </w:r>
    </w:p>
    <w:p w14:paraId="6081A56B" w14:textId="34C814D0" w:rsidR="00AB18A6" w:rsidRPr="008C436F" w:rsidRDefault="00AB18A6" w:rsidP="008C436F">
      <w:pPr>
        <w:pStyle w:val="Default"/>
        <w:rPr>
          <w:sz w:val="18"/>
          <w:szCs w:val="18"/>
          <w:lang w:val="fr-BE"/>
        </w:rPr>
      </w:pPr>
      <w:r w:rsidRPr="008C436F">
        <w:rPr>
          <w:sz w:val="18"/>
          <w:szCs w:val="18"/>
          <w:lang w:val="fr-BE"/>
        </w:rPr>
        <w:t xml:space="preserve">Il est indiqué aux points 3.1 et 3.2 de la présente note que pour la composition de groupes sur base de la substance active, il n’est en principe pas tenu compte du sel, de l’ester ou du complexe. Une courte explication est donnée ci-dessous pour plusieurs substances actives. </w:t>
      </w:r>
    </w:p>
    <w:p w14:paraId="56BF33ED" w14:textId="77777777" w:rsidR="00AB18A6" w:rsidRPr="008C436F" w:rsidRDefault="00AB18A6" w:rsidP="008C436F">
      <w:pPr>
        <w:pStyle w:val="Default"/>
        <w:rPr>
          <w:sz w:val="18"/>
          <w:szCs w:val="18"/>
          <w:lang w:val="fr-BE"/>
        </w:rPr>
      </w:pPr>
    </w:p>
    <w:p w14:paraId="7AEC17CF" w14:textId="6AA19ADB" w:rsidR="00AB18A6" w:rsidRPr="008C436F" w:rsidRDefault="00AB18A6" w:rsidP="008C436F">
      <w:pPr>
        <w:pStyle w:val="Default"/>
        <w:rPr>
          <w:sz w:val="18"/>
          <w:szCs w:val="18"/>
          <w:lang w:val="fr-BE"/>
        </w:rPr>
      </w:pPr>
      <w:r w:rsidRPr="008C436F">
        <w:rPr>
          <w:b/>
          <w:bCs/>
          <w:sz w:val="18"/>
          <w:szCs w:val="18"/>
          <w:lang w:val="fr-BE"/>
        </w:rPr>
        <w:t>8.1</w:t>
      </w:r>
      <w:r w:rsidR="001D31F6">
        <w:rPr>
          <w:b/>
          <w:bCs/>
          <w:sz w:val="18"/>
          <w:szCs w:val="18"/>
          <w:lang w:val="fr-BE"/>
        </w:rPr>
        <w:tab/>
      </w:r>
      <w:r w:rsidRPr="008C436F">
        <w:rPr>
          <w:b/>
          <w:bCs/>
          <w:sz w:val="18"/>
          <w:szCs w:val="18"/>
          <w:lang w:val="fr-BE"/>
        </w:rPr>
        <w:t xml:space="preserve">Amlodipine </w:t>
      </w:r>
    </w:p>
    <w:p w14:paraId="4E5A4ECB" w14:textId="54BEA99C" w:rsidR="00AB18A6" w:rsidRPr="008C436F" w:rsidRDefault="00AB18A6" w:rsidP="008C436F">
      <w:pPr>
        <w:pStyle w:val="Default"/>
        <w:ind w:right="142"/>
        <w:rPr>
          <w:sz w:val="18"/>
          <w:szCs w:val="18"/>
          <w:lang w:val="fr-BE"/>
        </w:rPr>
      </w:pPr>
      <w:r w:rsidRPr="008C436F">
        <w:rPr>
          <w:sz w:val="18"/>
          <w:szCs w:val="18"/>
          <w:lang w:val="fr-BE"/>
        </w:rPr>
        <w:t xml:space="preserve">Cette substance est disponible sous la forme de différents sels : bésilate, maléate et mésylate d’amlodipine. La spécialité de référence est composée de </w:t>
      </w:r>
      <w:r w:rsidRPr="001D31F6">
        <w:rPr>
          <w:sz w:val="18"/>
          <w:szCs w:val="18"/>
          <w:lang w:val="fr-BE"/>
        </w:rPr>
        <w:t>bésilate</w:t>
      </w:r>
      <w:r w:rsidRPr="008C436F">
        <w:rPr>
          <w:b/>
          <w:bCs/>
          <w:sz w:val="18"/>
          <w:szCs w:val="18"/>
          <w:lang w:val="fr-BE"/>
        </w:rPr>
        <w:t xml:space="preserve"> </w:t>
      </w:r>
      <w:r w:rsidRPr="008C436F">
        <w:rPr>
          <w:sz w:val="18"/>
          <w:szCs w:val="18"/>
          <w:lang w:val="fr-BE"/>
        </w:rPr>
        <w:t xml:space="preserve">d’amlodipine. </w:t>
      </w:r>
    </w:p>
    <w:p w14:paraId="798D9F7A" w14:textId="77777777" w:rsidR="00AB18A6" w:rsidRPr="008C436F" w:rsidRDefault="00AB18A6" w:rsidP="008C436F">
      <w:pPr>
        <w:pStyle w:val="Default"/>
        <w:ind w:right="142"/>
        <w:rPr>
          <w:sz w:val="18"/>
          <w:szCs w:val="18"/>
          <w:lang w:val="fr-BE"/>
        </w:rPr>
      </w:pPr>
    </w:p>
    <w:p w14:paraId="492C1470" w14:textId="77777777" w:rsidR="00AB18A6" w:rsidRPr="008C436F" w:rsidRDefault="00AB18A6" w:rsidP="008C436F">
      <w:pPr>
        <w:pStyle w:val="Default"/>
        <w:ind w:right="142"/>
        <w:rPr>
          <w:sz w:val="18"/>
          <w:szCs w:val="18"/>
          <w:lang w:val="fr-BE"/>
        </w:rPr>
      </w:pPr>
      <w:r w:rsidRPr="008C436F">
        <w:rPr>
          <w:sz w:val="18"/>
          <w:szCs w:val="18"/>
          <w:lang w:val="fr-BE"/>
        </w:rPr>
        <w:t xml:space="preserve">La décision de ne pas prendre en compte ces sels dans la formation du groupe repose sur plusieurs analyses réalisées dans le cadre des procédures européennes d’obtention d’une autorisation de mise sur le marché des médicaments génériques contenant de l’amlodipine. </w:t>
      </w:r>
    </w:p>
    <w:p w14:paraId="3B18F61D" w14:textId="77777777" w:rsidR="00AB18A6" w:rsidRPr="008C436F" w:rsidRDefault="00AB18A6" w:rsidP="008C436F">
      <w:pPr>
        <w:pStyle w:val="Default"/>
        <w:ind w:right="142"/>
        <w:rPr>
          <w:sz w:val="18"/>
          <w:szCs w:val="18"/>
          <w:lang w:val="fr-BE"/>
        </w:rPr>
      </w:pPr>
    </w:p>
    <w:p w14:paraId="47A67FD1" w14:textId="77777777" w:rsidR="00AB18A6" w:rsidRPr="008C436F" w:rsidRDefault="00AB18A6" w:rsidP="008C436F">
      <w:pPr>
        <w:pStyle w:val="Default"/>
        <w:ind w:right="142"/>
        <w:rPr>
          <w:sz w:val="18"/>
          <w:szCs w:val="18"/>
          <w:lang w:val="fr-BE"/>
        </w:rPr>
      </w:pPr>
      <w:r w:rsidRPr="008C436F">
        <w:rPr>
          <w:sz w:val="18"/>
          <w:szCs w:val="18"/>
          <w:lang w:val="fr-BE"/>
        </w:rPr>
        <w:t xml:space="preserve">Vu que c’est la base qui est absorbée après administration d’un sel d’amlodipine, le type de sel n’affecte pas la quantité et la vitesse d’absorption. Les différents sels d’amlodipine ont des propriétés pharmacocinétiques comparables (vitesse et quantité absorbée). </w:t>
      </w:r>
    </w:p>
    <w:p w14:paraId="59824120" w14:textId="77777777" w:rsidR="00AB18A6" w:rsidRPr="008C436F" w:rsidRDefault="00AB18A6" w:rsidP="008C436F">
      <w:pPr>
        <w:pStyle w:val="Default"/>
        <w:ind w:right="142"/>
        <w:rPr>
          <w:sz w:val="18"/>
          <w:szCs w:val="18"/>
          <w:lang w:val="fr-BE"/>
        </w:rPr>
      </w:pPr>
    </w:p>
    <w:p w14:paraId="75095E69" w14:textId="77777777" w:rsidR="00AB18A6" w:rsidRPr="008C436F" w:rsidRDefault="00AB18A6" w:rsidP="008C436F">
      <w:pPr>
        <w:pStyle w:val="Default"/>
        <w:ind w:right="142"/>
        <w:rPr>
          <w:sz w:val="18"/>
          <w:szCs w:val="18"/>
          <w:lang w:val="fr-BE"/>
        </w:rPr>
      </w:pPr>
      <w:r w:rsidRPr="008C436F">
        <w:rPr>
          <w:sz w:val="18"/>
          <w:szCs w:val="18"/>
          <w:lang w:val="fr-BE"/>
        </w:rPr>
        <w:t xml:space="preserve">Aucune différence significative n’a été constatée entre les médicaments autorisés à base de bésilate d’amlodipine et ceux à base de mésilate ou de maléate d’amlodipine, au niveau de leur tolérance et de leur toxicité. </w:t>
      </w:r>
    </w:p>
    <w:p w14:paraId="0377D0AB" w14:textId="77777777" w:rsidR="00AB18A6" w:rsidRPr="008C436F" w:rsidRDefault="00AB18A6" w:rsidP="008C436F">
      <w:pPr>
        <w:pStyle w:val="Default"/>
        <w:rPr>
          <w:sz w:val="18"/>
          <w:szCs w:val="18"/>
          <w:lang w:val="fr-BE"/>
        </w:rPr>
      </w:pPr>
    </w:p>
    <w:p w14:paraId="268CE09A" w14:textId="3DA1DC23" w:rsidR="00AB18A6" w:rsidRPr="008C436F" w:rsidRDefault="00AB18A6" w:rsidP="008C436F">
      <w:pPr>
        <w:pStyle w:val="Default"/>
        <w:rPr>
          <w:sz w:val="18"/>
          <w:szCs w:val="18"/>
          <w:lang w:val="fr-BE"/>
        </w:rPr>
      </w:pPr>
      <w:r w:rsidRPr="008C436F">
        <w:rPr>
          <w:b/>
          <w:bCs/>
          <w:sz w:val="18"/>
          <w:szCs w:val="18"/>
          <w:lang w:val="fr-BE"/>
        </w:rPr>
        <w:t>8.2</w:t>
      </w:r>
      <w:r w:rsidR="001D31F6">
        <w:rPr>
          <w:b/>
          <w:bCs/>
          <w:sz w:val="18"/>
          <w:szCs w:val="18"/>
          <w:lang w:val="fr-BE"/>
        </w:rPr>
        <w:tab/>
      </w:r>
      <w:r w:rsidRPr="008C436F">
        <w:rPr>
          <w:b/>
          <w:bCs/>
          <w:sz w:val="18"/>
          <w:szCs w:val="18"/>
          <w:lang w:val="fr-BE"/>
        </w:rPr>
        <w:t xml:space="preserve">Métoprolol </w:t>
      </w:r>
    </w:p>
    <w:p w14:paraId="05913B6E" w14:textId="2456229F" w:rsidR="00AB18A6" w:rsidRPr="008C436F" w:rsidRDefault="00AB18A6" w:rsidP="008C436F">
      <w:pPr>
        <w:pStyle w:val="Default"/>
        <w:ind w:right="142"/>
        <w:rPr>
          <w:sz w:val="18"/>
          <w:szCs w:val="18"/>
          <w:lang w:val="fr-BE"/>
        </w:rPr>
      </w:pPr>
      <w:r w:rsidRPr="008C436F">
        <w:rPr>
          <w:sz w:val="18"/>
          <w:szCs w:val="18"/>
          <w:lang w:val="fr-BE"/>
        </w:rPr>
        <w:t xml:space="preserve">Ici aussi, le groupe de travail a jugé que les médicaments à base de métoprolol de même dosage et de même forme pharmaceutique mais contenant un sel différent (succinate et tartrate), étaient interchangeables entre eux. </w:t>
      </w:r>
      <w:r w:rsidR="001D31F6" w:rsidRPr="001D31F6">
        <w:rPr>
          <w:sz w:val="18"/>
          <w:szCs w:val="18"/>
          <w:lang w:val="fr-BE"/>
        </w:rPr>
        <w:t>Ce n'est pas le cas du sel de métoprolol fumarate</w:t>
      </w:r>
      <w:r w:rsidR="001D31F6">
        <w:rPr>
          <w:sz w:val="18"/>
          <w:szCs w:val="18"/>
          <w:lang w:val="fr-BE"/>
        </w:rPr>
        <w:t>.</w:t>
      </w:r>
    </w:p>
    <w:p w14:paraId="2FA1A961" w14:textId="77777777" w:rsidR="00AB18A6" w:rsidRPr="008C436F" w:rsidRDefault="00AB18A6" w:rsidP="008C436F">
      <w:pPr>
        <w:pStyle w:val="Default"/>
        <w:ind w:right="142"/>
        <w:rPr>
          <w:sz w:val="18"/>
          <w:szCs w:val="18"/>
          <w:lang w:val="fr-BE"/>
        </w:rPr>
      </w:pPr>
    </w:p>
    <w:p w14:paraId="67EBAD7A" w14:textId="77777777" w:rsidR="00AB18A6" w:rsidRPr="008C436F" w:rsidRDefault="00AB18A6" w:rsidP="008C436F">
      <w:pPr>
        <w:pStyle w:val="Default"/>
        <w:ind w:right="142"/>
        <w:rPr>
          <w:sz w:val="18"/>
          <w:szCs w:val="18"/>
          <w:lang w:val="fr-BE"/>
        </w:rPr>
      </w:pPr>
      <w:r w:rsidRPr="008C436F">
        <w:rPr>
          <w:sz w:val="18"/>
          <w:szCs w:val="18"/>
          <w:lang w:val="fr-BE"/>
        </w:rPr>
        <w:t xml:space="preserve">Tous les sels de métoprolol (succinate, tartrate et fumarate) sont largement solubles dans l’eau, indépendamment du pH. Avant absorption, le sel de métoprolol est libéré et dissout. Seul le métoprolol base est présent dans la circulation systémique. </w:t>
      </w:r>
    </w:p>
    <w:p w14:paraId="576B06D9" w14:textId="77777777" w:rsidR="00AB18A6" w:rsidRPr="008C436F" w:rsidRDefault="00AB18A6" w:rsidP="008C436F">
      <w:pPr>
        <w:pStyle w:val="Default"/>
        <w:rPr>
          <w:sz w:val="18"/>
          <w:szCs w:val="18"/>
          <w:lang w:val="fr-BE"/>
        </w:rPr>
      </w:pPr>
    </w:p>
    <w:p w14:paraId="3FF29164" w14:textId="6281176A" w:rsidR="00AB18A6" w:rsidRPr="008C436F" w:rsidRDefault="00AB18A6" w:rsidP="008C436F">
      <w:pPr>
        <w:pStyle w:val="Default"/>
        <w:rPr>
          <w:sz w:val="18"/>
          <w:szCs w:val="18"/>
          <w:lang w:val="fr-BE"/>
        </w:rPr>
      </w:pPr>
      <w:r w:rsidRPr="008C436F">
        <w:rPr>
          <w:b/>
          <w:bCs/>
          <w:sz w:val="18"/>
          <w:szCs w:val="18"/>
          <w:lang w:val="fr-BE"/>
        </w:rPr>
        <w:t>8.3</w:t>
      </w:r>
      <w:r w:rsidR="001D31F6">
        <w:rPr>
          <w:b/>
          <w:bCs/>
          <w:sz w:val="18"/>
          <w:szCs w:val="18"/>
          <w:lang w:val="fr-BE"/>
        </w:rPr>
        <w:tab/>
      </w:r>
      <w:r w:rsidRPr="008C436F">
        <w:rPr>
          <w:b/>
          <w:bCs/>
          <w:sz w:val="18"/>
          <w:szCs w:val="18"/>
          <w:lang w:val="fr-BE"/>
        </w:rPr>
        <w:t xml:space="preserve">Diclofénac </w:t>
      </w:r>
    </w:p>
    <w:p w14:paraId="57C08C02" w14:textId="77777777" w:rsidR="00AB18A6" w:rsidRPr="008C436F" w:rsidRDefault="00AB18A6" w:rsidP="008C436F">
      <w:pPr>
        <w:pStyle w:val="Default"/>
        <w:ind w:right="142"/>
        <w:rPr>
          <w:sz w:val="18"/>
          <w:szCs w:val="18"/>
          <w:lang w:val="fr-BE"/>
        </w:rPr>
      </w:pPr>
      <w:r w:rsidRPr="008C436F">
        <w:rPr>
          <w:sz w:val="18"/>
          <w:szCs w:val="18"/>
          <w:lang w:val="fr-BE"/>
        </w:rPr>
        <w:t>Les deux formes de sel de diclofénac (potassium et sodium) sont reprises dans le même groupe, vu qu’il n’y a pas de différence clinique significative entre les deux sels.</w:t>
      </w:r>
    </w:p>
    <w:p w14:paraId="10C80B09" w14:textId="77777777" w:rsidR="00AB18A6" w:rsidRPr="008C436F" w:rsidRDefault="00AB18A6" w:rsidP="008C436F">
      <w:pPr>
        <w:pStyle w:val="Default"/>
        <w:rPr>
          <w:sz w:val="18"/>
          <w:szCs w:val="18"/>
          <w:lang w:val="fr-BE"/>
        </w:rPr>
      </w:pPr>
    </w:p>
    <w:p w14:paraId="655C17BB" w14:textId="0804B4C8" w:rsidR="00AB18A6" w:rsidRPr="008C436F" w:rsidRDefault="00AB18A6" w:rsidP="008C436F">
      <w:pPr>
        <w:pStyle w:val="Default"/>
        <w:rPr>
          <w:sz w:val="18"/>
          <w:szCs w:val="18"/>
          <w:lang w:val="fr-BE"/>
        </w:rPr>
      </w:pPr>
      <w:r w:rsidRPr="008C436F">
        <w:rPr>
          <w:b/>
          <w:bCs/>
          <w:sz w:val="18"/>
          <w:szCs w:val="18"/>
          <w:lang w:val="fr-BE"/>
        </w:rPr>
        <w:t>8.4</w:t>
      </w:r>
      <w:r w:rsidR="001D31F6">
        <w:rPr>
          <w:b/>
          <w:bCs/>
          <w:sz w:val="18"/>
          <w:szCs w:val="18"/>
          <w:lang w:val="fr-BE"/>
        </w:rPr>
        <w:tab/>
      </w:r>
      <w:r w:rsidRPr="008C436F">
        <w:rPr>
          <w:b/>
          <w:bCs/>
          <w:sz w:val="18"/>
          <w:szCs w:val="18"/>
          <w:lang w:val="fr-BE"/>
        </w:rPr>
        <w:t xml:space="preserve">Piroxicam </w:t>
      </w:r>
    </w:p>
    <w:p w14:paraId="19075B5E" w14:textId="77777777" w:rsidR="00AB18A6" w:rsidRPr="008C436F" w:rsidRDefault="00AB18A6" w:rsidP="008C436F">
      <w:pPr>
        <w:pStyle w:val="Default"/>
        <w:ind w:right="142"/>
        <w:rPr>
          <w:sz w:val="18"/>
          <w:szCs w:val="18"/>
          <w:lang w:val="fr-BE"/>
        </w:rPr>
      </w:pPr>
      <w:r w:rsidRPr="008C436F">
        <w:rPr>
          <w:sz w:val="18"/>
          <w:szCs w:val="18"/>
          <w:lang w:val="fr-BE"/>
        </w:rPr>
        <w:t xml:space="preserve">Le groupe de travail a jugé qu’il n’y avait pas de différence clinique reconnue entre le complexe de piroxicam-bêta-cyclodextrine et le piroxicam même. </w:t>
      </w:r>
    </w:p>
    <w:p w14:paraId="4A48F758" w14:textId="77777777" w:rsidR="00AB18A6" w:rsidRPr="008C436F" w:rsidRDefault="00AB18A6" w:rsidP="008C436F">
      <w:pPr>
        <w:pStyle w:val="Default"/>
        <w:rPr>
          <w:sz w:val="18"/>
          <w:szCs w:val="18"/>
          <w:lang w:val="fr-BE"/>
        </w:rPr>
      </w:pPr>
    </w:p>
    <w:p w14:paraId="6C45CEC5" w14:textId="60ACAEA4" w:rsidR="00AB18A6" w:rsidRPr="008C436F" w:rsidRDefault="00AB18A6" w:rsidP="008C436F">
      <w:pPr>
        <w:pStyle w:val="Default"/>
        <w:rPr>
          <w:sz w:val="18"/>
          <w:szCs w:val="18"/>
          <w:lang w:val="fr-BE"/>
        </w:rPr>
      </w:pPr>
      <w:r w:rsidRPr="008C436F">
        <w:rPr>
          <w:b/>
          <w:bCs/>
          <w:sz w:val="18"/>
          <w:szCs w:val="18"/>
          <w:lang w:val="fr-BE"/>
        </w:rPr>
        <w:t>8.5</w:t>
      </w:r>
      <w:r w:rsidR="001D31F6">
        <w:rPr>
          <w:b/>
          <w:bCs/>
          <w:sz w:val="18"/>
          <w:szCs w:val="18"/>
          <w:lang w:val="fr-BE"/>
        </w:rPr>
        <w:tab/>
      </w:r>
      <w:r w:rsidRPr="008C436F">
        <w:rPr>
          <w:b/>
          <w:bCs/>
          <w:sz w:val="18"/>
          <w:szCs w:val="18"/>
          <w:lang w:val="fr-BE"/>
        </w:rPr>
        <w:t xml:space="preserve">Périndopril </w:t>
      </w:r>
    </w:p>
    <w:p w14:paraId="1960FCCC" w14:textId="6995FBA0" w:rsidR="00AB18A6" w:rsidRPr="008C436F" w:rsidRDefault="00AB18A6" w:rsidP="008C436F">
      <w:pPr>
        <w:pStyle w:val="Default"/>
        <w:rPr>
          <w:sz w:val="18"/>
          <w:szCs w:val="18"/>
          <w:lang w:val="fr-BE"/>
        </w:rPr>
      </w:pPr>
      <w:r w:rsidRPr="008C436F">
        <w:rPr>
          <w:sz w:val="18"/>
          <w:szCs w:val="18"/>
          <w:lang w:val="fr-BE"/>
        </w:rPr>
        <w:t xml:space="preserve">Les médicaments à base de périndopril 4 mg et 5 mg ont été placés dans le même groupe étant donné que la quantité de substance active est identique. La différence de dosage est liée à l’expression de celui-ci en termes de sel. </w:t>
      </w:r>
    </w:p>
    <w:p w14:paraId="38CECC1E" w14:textId="77777777" w:rsidR="00AB18A6" w:rsidRPr="008C436F" w:rsidRDefault="00AB18A6" w:rsidP="008C436F">
      <w:pPr>
        <w:pStyle w:val="Default"/>
        <w:rPr>
          <w:sz w:val="18"/>
          <w:szCs w:val="18"/>
          <w:lang w:val="fr-BE"/>
        </w:rPr>
      </w:pPr>
    </w:p>
    <w:p w14:paraId="7079629A" w14:textId="77777777" w:rsidR="00AB18A6" w:rsidRPr="008C436F" w:rsidRDefault="00AB18A6" w:rsidP="008C436F">
      <w:pPr>
        <w:pStyle w:val="Default"/>
        <w:rPr>
          <w:sz w:val="18"/>
          <w:szCs w:val="18"/>
          <w:lang w:val="fr-BE"/>
        </w:rPr>
      </w:pPr>
    </w:p>
    <w:p w14:paraId="5BD3A4BA" w14:textId="2903BC2A" w:rsidR="00AB18A6" w:rsidRPr="008C436F" w:rsidRDefault="00AB18A6" w:rsidP="001D31F6">
      <w:pPr>
        <w:pStyle w:val="Default"/>
        <w:numPr>
          <w:ilvl w:val="0"/>
          <w:numId w:val="1"/>
        </w:numPr>
        <w:ind w:left="426" w:hanging="426"/>
        <w:rPr>
          <w:b/>
          <w:bCs/>
          <w:color w:val="5B9BD3"/>
          <w:sz w:val="22"/>
          <w:szCs w:val="18"/>
          <w:lang w:val="fr-BE"/>
        </w:rPr>
      </w:pPr>
      <w:r w:rsidRPr="008C436F">
        <w:rPr>
          <w:b/>
          <w:bCs/>
          <w:color w:val="5B9BD3"/>
          <w:sz w:val="22"/>
          <w:szCs w:val="18"/>
          <w:lang w:val="fr-BE"/>
        </w:rPr>
        <w:t xml:space="preserve">Différences d’excipients dans un groupe DCI </w:t>
      </w:r>
    </w:p>
    <w:p w14:paraId="3B8BF093" w14:textId="77777777" w:rsidR="00AB18A6" w:rsidRPr="008C436F" w:rsidRDefault="00AB18A6" w:rsidP="008C436F">
      <w:pPr>
        <w:pStyle w:val="Default"/>
        <w:ind w:right="142"/>
        <w:rPr>
          <w:sz w:val="18"/>
          <w:szCs w:val="18"/>
          <w:lang w:val="fr-BE"/>
        </w:rPr>
      </w:pPr>
      <w:r w:rsidRPr="008C436F">
        <w:rPr>
          <w:sz w:val="18"/>
          <w:szCs w:val="18"/>
          <w:lang w:val="fr-BE"/>
        </w:rPr>
        <w:t xml:space="preserve">Dans le cadre de la prescription en DCI, tout comme pour toute prescription, il y a lieu de  prêter attention à la présence éventuelle d’excipients à effet notoire. </w:t>
      </w:r>
    </w:p>
    <w:p w14:paraId="0298FE83" w14:textId="77777777" w:rsidR="00AB18A6" w:rsidRPr="008C436F" w:rsidRDefault="00AB18A6" w:rsidP="008C436F">
      <w:pPr>
        <w:pStyle w:val="Default"/>
        <w:ind w:right="142"/>
        <w:rPr>
          <w:sz w:val="18"/>
          <w:szCs w:val="18"/>
          <w:lang w:val="fr-BE"/>
        </w:rPr>
      </w:pPr>
    </w:p>
    <w:p w14:paraId="4268A987" w14:textId="77777777" w:rsidR="00AB18A6" w:rsidRPr="008C436F" w:rsidRDefault="00AB18A6" w:rsidP="008C436F">
      <w:pPr>
        <w:pStyle w:val="Default"/>
        <w:ind w:right="142"/>
        <w:rPr>
          <w:sz w:val="18"/>
          <w:szCs w:val="18"/>
          <w:lang w:val="fr-BE"/>
        </w:rPr>
      </w:pPr>
      <w:r w:rsidRPr="008C436F">
        <w:rPr>
          <w:sz w:val="18"/>
          <w:szCs w:val="18"/>
          <w:lang w:val="fr-BE"/>
        </w:rPr>
        <w:t xml:space="preserve">Certains médicaments contiennent un ou plusieurs excipients dits à effet notoire. On entend par excipient à effet notoire un excipient dont la présence peut nécessiter des précautions d’emploi pour certaines catégories de patients. </w:t>
      </w:r>
    </w:p>
    <w:p w14:paraId="443C73E4" w14:textId="77777777" w:rsidR="00AB18A6" w:rsidRPr="008C436F" w:rsidRDefault="00AB18A6" w:rsidP="008C436F">
      <w:pPr>
        <w:pStyle w:val="Default"/>
        <w:ind w:right="142"/>
        <w:rPr>
          <w:sz w:val="18"/>
          <w:szCs w:val="18"/>
          <w:lang w:val="fr-BE"/>
        </w:rPr>
      </w:pPr>
    </w:p>
    <w:p w14:paraId="5E36C61F" w14:textId="77777777" w:rsidR="00AB18A6" w:rsidRPr="008C436F" w:rsidRDefault="00AB18A6" w:rsidP="008C436F">
      <w:pPr>
        <w:pStyle w:val="Default"/>
        <w:ind w:right="142"/>
        <w:rPr>
          <w:sz w:val="18"/>
          <w:szCs w:val="18"/>
          <w:lang w:val="fr-BE"/>
        </w:rPr>
      </w:pPr>
      <w:r w:rsidRPr="008C436F">
        <w:rPr>
          <w:sz w:val="18"/>
          <w:szCs w:val="18"/>
          <w:lang w:val="fr-BE"/>
        </w:rPr>
        <w:t xml:space="preserve">Les effets de l’excipient sont parfois liés à la voie d’administration ou à la dose administrée (= au-dessus d’un certain seuil). </w:t>
      </w:r>
    </w:p>
    <w:p w14:paraId="765B7A5C" w14:textId="77777777" w:rsidR="00AB18A6" w:rsidRPr="008C436F" w:rsidRDefault="00AB18A6" w:rsidP="008C436F">
      <w:pPr>
        <w:pStyle w:val="Default"/>
        <w:ind w:right="142"/>
        <w:rPr>
          <w:sz w:val="18"/>
          <w:szCs w:val="18"/>
          <w:lang w:val="fr-BE"/>
        </w:rPr>
      </w:pPr>
    </w:p>
    <w:p w14:paraId="2E72193A" w14:textId="77777777" w:rsidR="00AB18A6" w:rsidRPr="008C436F" w:rsidRDefault="00AB18A6" w:rsidP="008C436F">
      <w:pPr>
        <w:pStyle w:val="Default"/>
        <w:ind w:right="142"/>
        <w:rPr>
          <w:sz w:val="18"/>
          <w:szCs w:val="18"/>
          <w:lang w:val="fr-BE"/>
        </w:rPr>
      </w:pPr>
      <w:r w:rsidRPr="008C436F">
        <w:rPr>
          <w:sz w:val="18"/>
          <w:szCs w:val="18"/>
          <w:lang w:val="fr-BE"/>
        </w:rPr>
        <w:t xml:space="preserve">Afin de garantir le meilleur niveau de sécurité, il peut donc être utile de prendre également en compte les excipients à effet notoire, notamment lorsque le prescripteur souhaite prescrire une autre spécialité contenant la ou les même(s) substance(s) active(s). </w:t>
      </w:r>
    </w:p>
    <w:p w14:paraId="6A3E9F02" w14:textId="77777777" w:rsidR="00AB18A6" w:rsidRPr="008C436F" w:rsidRDefault="00AB18A6" w:rsidP="008C436F">
      <w:pPr>
        <w:pStyle w:val="Default"/>
        <w:ind w:right="142"/>
        <w:rPr>
          <w:sz w:val="18"/>
          <w:szCs w:val="18"/>
          <w:lang w:val="fr-BE"/>
        </w:rPr>
      </w:pPr>
    </w:p>
    <w:p w14:paraId="60288D2B" w14:textId="77777777" w:rsidR="00741208" w:rsidRDefault="00741208">
      <w:pPr>
        <w:rPr>
          <w:rFonts w:ascii="Verdana" w:hAnsi="Verdana" w:cs="Verdana"/>
          <w:color w:val="000000"/>
          <w:sz w:val="18"/>
          <w:szCs w:val="18"/>
          <w:lang w:val="fr-BE"/>
        </w:rPr>
      </w:pPr>
      <w:r>
        <w:rPr>
          <w:sz w:val="18"/>
          <w:szCs w:val="18"/>
          <w:lang w:val="fr-BE"/>
        </w:rPr>
        <w:br w:type="page"/>
      </w:r>
    </w:p>
    <w:p w14:paraId="7F6700DD" w14:textId="6016A799" w:rsidR="00AB18A6" w:rsidRPr="008C436F" w:rsidRDefault="00AB18A6" w:rsidP="008C436F">
      <w:pPr>
        <w:pStyle w:val="Default"/>
        <w:ind w:right="142"/>
        <w:rPr>
          <w:sz w:val="18"/>
          <w:szCs w:val="18"/>
          <w:lang w:val="fr-BE"/>
        </w:rPr>
      </w:pPr>
      <w:r w:rsidRPr="008C436F">
        <w:rPr>
          <w:sz w:val="18"/>
          <w:szCs w:val="18"/>
          <w:lang w:val="fr-BE"/>
        </w:rPr>
        <w:lastRenderedPageBreak/>
        <w:t xml:space="preserve">Sont considérés comme excipients à effet notoire les substances reprises dans la directive de la Commission européenne </w:t>
      </w:r>
      <w:r w:rsidRPr="008C436F">
        <w:rPr>
          <w:color w:val="0000FF"/>
          <w:sz w:val="18"/>
          <w:szCs w:val="18"/>
          <w:lang w:val="fr-BE"/>
        </w:rPr>
        <w:t xml:space="preserve">Excipients in the label and package leaflet of medicinal products for human use, </w:t>
      </w:r>
      <w:r w:rsidRPr="008C436F">
        <w:rPr>
          <w:sz w:val="18"/>
          <w:szCs w:val="18"/>
          <w:lang w:val="fr-BE"/>
        </w:rPr>
        <w:t xml:space="preserve">révisée en juillet 2003. </w:t>
      </w:r>
    </w:p>
    <w:p w14:paraId="2D992921" w14:textId="77777777" w:rsidR="00AB18A6" w:rsidRPr="008C436F" w:rsidRDefault="00AB18A6" w:rsidP="008C436F">
      <w:pPr>
        <w:pStyle w:val="Default"/>
        <w:ind w:right="142"/>
        <w:rPr>
          <w:sz w:val="18"/>
          <w:szCs w:val="18"/>
          <w:lang w:val="fr-BE"/>
        </w:rPr>
      </w:pPr>
    </w:p>
    <w:p w14:paraId="67CBA0CA" w14:textId="77777777" w:rsidR="00AB18A6" w:rsidRPr="008C436F" w:rsidRDefault="00AB18A6" w:rsidP="008C436F">
      <w:pPr>
        <w:pStyle w:val="Default"/>
        <w:ind w:right="142"/>
        <w:rPr>
          <w:sz w:val="18"/>
          <w:szCs w:val="18"/>
          <w:lang w:val="fr-BE"/>
        </w:rPr>
      </w:pPr>
      <w:r w:rsidRPr="008C436F">
        <w:rPr>
          <w:sz w:val="18"/>
          <w:szCs w:val="18"/>
          <w:lang w:val="fr-BE"/>
        </w:rPr>
        <w:t xml:space="preserve">Cependant, ce problème n’est pas spécifique au passage d’un médicament à un autre ou à la prescription en DCI mais peut concerner n’importe quelle nouvelle prescription. Pour un patient présentant une allergie connue à un excipient, il est bon d’y prêter attention dans le choix d’un médicament. </w:t>
      </w:r>
    </w:p>
    <w:p w14:paraId="09E4625E" w14:textId="77777777" w:rsidR="00AB18A6" w:rsidRPr="008C436F" w:rsidRDefault="00AB18A6" w:rsidP="008C436F">
      <w:pPr>
        <w:pStyle w:val="Default"/>
        <w:ind w:right="142"/>
        <w:rPr>
          <w:sz w:val="18"/>
          <w:szCs w:val="18"/>
          <w:lang w:val="fr-BE"/>
        </w:rPr>
      </w:pPr>
    </w:p>
    <w:p w14:paraId="30F93070" w14:textId="60178586" w:rsidR="00AB18A6" w:rsidRPr="008C436F" w:rsidRDefault="00AB18A6" w:rsidP="008C436F">
      <w:pPr>
        <w:spacing w:after="0" w:line="240" w:lineRule="auto"/>
        <w:ind w:right="142"/>
        <w:rPr>
          <w:rFonts w:ascii="Verdana" w:hAnsi="Verdana"/>
          <w:sz w:val="18"/>
          <w:szCs w:val="18"/>
          <w:lang w:val="fr-BE"/>
        </w:rPr>
      </w:pPr>
      <w:r w:rsidRPr="008C436F">
        <w:rPr>
          <w:rFonts w:ascii="Verdana" w:hAnsi="Verdana"/>
          <w:color w:val="0000FF"/>
          <w:sz w:val="18"/>
          <w:szCs w:val="18"/>
          <w:lang w:val="fr-BE"/>
        </w:rPr>
        <w:t xml:space="preserve">La notice pour le public et le résumé des caractéristiques du produit (RCP) de tous les médicaments à usage humain autorisés en Belgique </w:t>
      </w:r>
      <w:r w:rsidRPr="008C436F">
        <w:rPr>
          <w:rFonts w:ascii="Verdana" w:hAnsi="Verdana"/>
          <w:sz w:val="18"/>
          <w:szCs w:val="18"/>
          <w:lang w:val="fr-BE"/>
        </w:rPr>
        <w:t>sont disponibles sur le site internet de l’AFMPS. La composition qualitative de la spécialité, y compris les excipients, y est indiquée.</w:t>
      </w:r>
    </w:p>
    <w:p w14:paraId="62C3FE25" w14:textId="7AD33C49" w:rsidR="00AB18A6" w:rsidRPr="008C436F" w:rsidRDefault="00AB18A6" w:rsidP="008C436F">
      <w:pPr>
        <w:spacing w:after="0" w:line="240" w:lineRule="auto"/>
        <w:rPr>
          <w:rFonts w:ascii="Verdana" w:hAnsi="Verdana"/>
          <w:sz w:val="18"/>
          <w:szCs w:val="18"/>
          <w:lang w:val="fr-BE"/>
        </w:rPr>
      </w:pPr>
    </w:p>
    <w:p w14:paraId="14BCBCBA" w14:textId="27A0D6F5" w:rsidR="00AA15FC" w:rsidRPr="008C436F" w:rsidRDefault="00AA15FC" w:rsidP="008C436F">
      <w:pPr>
        <w:spacing w:after="0" w:line="240" w:lineRule="auto"/>
        <w:rPr>
          <w:rFonts w:ascii="Verdana" w:hAnsi="Verdana"/>
          <w:sz w:val="18"/>
          <w:szCs w:val="18"/>
          <w:lang w:val="fr-BE"/>
        </w:rPr>
      </w:pPr>
    </w:p>
    <w:p w14:paraId="13F9B9E5" w14:textId="7FE75664" w:rsidR="00AB18A6" w:rsidRPr="008C436F" w:rsidRDefault="00AB18A6" w:rsidP="00A13421">
      <w:pPr>
        <w:pStyle w:val="Default"/>
        <w:numPr>
          <w:ilvl w:val="0"/>
          <w:numId w:val="1"/>
        </w:numPr>
        <w:ind w:left="426" w:hanging="426"/>
        <w:rPr>
          <w:b/>
          <w:bCs/>
          <w:color w:val="5B9BD3"/>
          <w:sz w:val="22"/>
          <w:szCs w:val="18"/>
          <w:lang w:val="fr-BE"/>
        </w:rPr>
      </w:pPr>
      <w:r w:rsidRPr="008C436F">
        <w:rPr>
          <w:b/>
          <w:bCs/>
          <w:color w:val="5B9BD3"/>
          <w:sz w:val="22"/>
          <w:szCs w:val="18"/>
          <w:lang w:val="fr-BE"/>
        </w:rPr>
        <w:t xml:space="preserve">Références </w:t>
      </w:r>
    </w:p>
    <w:p w14:paraId="609F618E" w14:textId="77777777" w:rsidR="00A104BD" w:rsidRPr="00981286" w:rsidRDefault="00A104BD" w:rsidP="00A104BD">
      <w:pPr>
        <w:pStyle w:val="ListParagraph"/>
        <w:numPr>
          <w:ilvl w:val="0"/>
          <w:numId w:val="10"/>
        </w:numPr>
        <w:spacing w:after="0" w:line="240" w:lineRule="auto"/>
        <w:ind w:left="426" w:hanging="426"/>
        <w:contextualSpacing w:val="0"/>
        <w:rPr>
          <w:rFonts w:ascii="Verdana" w:hAnsi="Verdana" w:cs="Verdana"/>
          <w:color w:val="000000"/>
          <w:sz w:val="18"/>
          <w:szCs w:val="20"/>
          <w:lang w:val="nl-BE"/>
        </w:rPr>
      </w:pPr>
      <w:r w:rsidRPr="00981286">
        <w:rPr>
          <w:rFonts w:ascii="Verdana" w:hAnsi="Verdana" w:cs="Verdana"/>
          <w:color w:val="000000"/>
          <w:sz w:val="18"/>
          <w:szCs w:val="20"/>
          <w:lang w:val="nl-BE"/>
        </w:rPr>
        <w:t>Approved drug products with therapeutic equivalence evaluations, 39th Edition, FDA, 2019</w:t>
      </w:r>
    </w:p>
    <w:p w14:paraId="5D6E5D99" w14:textId="77777777" w:rsidR="00A104BD" w:rsidRPr="00981286" w:rsidRDefault="00A104BD" w:rsidP="00A104BD">
      <w:pPr>
        <w:pStyle w:val="ListParagraph"/>
        <w:numPr>
          <w:ilvl w:val="0"/>
          <w:numId w:val="10"/>
        </w:numPr>
        <w:spacing w:after="0" w:line="240" w:lineRule="auto"/>
        <w:ind w:left="426" w:hanging="426"/>
        <w:contextualSpacing w:val="0"/>
        <w:rPr>
          <w:rFonts w:ascii="Verdana" w:hAnsi="Verdana" w:cs="Verdana"/>
          <w:color w:val="000000"/>
          <w:sz w:val="18"/>
          <w:szCs w:val="20"/>
          <w:lang w:val="nl-BE"/>
        </w:rPr>
      </w:pPr>
      <w:r w:rsidRPr="00981286">
        <w:rPr>
          <w:rFonts w:ascii="Verdana" w:hAnsi="Verdana" w:cs="Verdana"/>
          <w:color w:val="000000"/>
          <w:sz w:val="18"/>
          <w:szCs w:val="20"/>
          <w:lang w:val="nl-BE"/>
        </w:rPr>
        <w:t>EMA, Annex to the European Commission guideline on “Excipients in the labelling and package leaflet of medicinal products for human use” (SANTE-2017-11668). Excipients and information for the package leaflet. EMA/CHMP/302620/2017 Rev.1 *, November 2019</w:t>
      </w:r>
    </w:p>
    <w:p w14:paraId="6E09AEB1" w14:textId="77777777" w:rsidR="00A104BD" w:rsidRPr="00D87330" w:rsidRDefault="00A104BD" w:rsidP="00A104BD">
      <w:pPr>
        <w:pStyle w:val="Default"/>
        <w:numPr>
          <w:ilvl w:val="0"/>
          <w:numId w:val="10"/>
        </w:numPr>
        <w:ind w:left="426" w:hanging="426"/>
        <w:rPr>
          <w:sz w:val="18"/>
          <w:szCs w:val="20"/>
          <w:lang w:val="nl-BE"/>
        </w:rPr>
      </w:pPr>
      <w:r w:rsidRPr="00D87330">
        <w:rPr>
          <w:sz w:val="18"/>
          <w:szCs w:val="20"/>
          <w:lang w:val="nl-BE"/>
        </w:rPr>
        <w:t xml:space="preserve">Guidance for Industry, Bioequivalence Requirements: Critical Dose Drugs, Drug and Heatlh Products, Health Canada, June 2006 </w:t>
      </w:r>
      <w:r w:rsidRPr="00D87330">
        <w:rPr>
          <w:sz w:val="18"/>
          <w:szCs w:val="20"/>
          <w:lang w:val="nl-BE"/>
        </w:rPr>
        <w:br/>
        <w:t xml:space="preserve">Guidance for Industry IR solid Oral dosage forms, scale-up and post-approval changes, FDA, CDER, November 1995 </w:t>
      </w:r>
    </w:p>
    <w:p w14:paraId="047F9CAA" w14:textId="77777777" w:rsidR="00A104BD" w:rsidRPr="00981286" w:rsidRDefault="00A104BD" w:rsidP="00A104BD">
      <w:pPr>
        <w:pStyle w:val="Default"/>
        <w:numPr>
          <w:ilvl w:val="0"/>
          <w:numId w:val="10"/>
        </w:numPr>
        <w:ind w:left="426" w:hanging="426"/>
        <w:rPr>
          <w:sz w:val="18"/>
          <w:szCs w:val="20"/>
          <w:lang w:val="nl-BE"/>
        </w:rPr>
      </w:pPr>
      <w:r w:rsidRPr="00981286">
        <w:rPr>
          <w:sz w:val="18"/>
          <w:szCs w:val="20"/>
          <w:lang w:val="nl-BE"/>
        </w:rPr>
        <w:t>Guideline on the Investigation of Bioequivalence, European Medicines Agency, January 2010</w:t>
      </w:r>
    </w:p>
    <w:p w14:paraId="2EA9C9A6" w14:textId="77777777" w:rsidR="00A104BD" w:rsidRPr="00981286" w:rsidRDefault="00A104BD" w:rsidP="00A104BD">
      <w:pPr>
        <w:pStyle w:val="ListParagraph"/>
        <w:numPr>
          <w:ilvl w:val="0"/>
          <w:numId w:val="10"/>
        </w:numPr>
        <w:spacing w:after="0" w:line="240" w:lineRule="auto"/>
        <w:ind w:left="426" w:hanging="426"/>
        <w:contextualSpacing w:val="0"/>
        <w:rPr>
          <w:rFonts w:ascii="Verdana" w:hAnsi="Verdana" w:cs="Verdana"/>
          <w:color w:val="000000"/>
          <w:sz w:val="18"/>
          <w:szCs w:val="20"/>
          <w:lang w:val="nl-BE"/>
        </w:rPr>
      </w:pPr>
      <w:r w:rsidRPr="00981286">
        <w:rPr>
          <w:rFonts w:ascii="Verdana" w:hAnsi="Verdana" w:cs="Verdana"/>
          <w:color w:val="000000"/>
          <w:sz w:val="18"/>
          <w:szCs w:val="20"/>
          <w:lang w:val="nl-BE"/>
        </w:rPr>
        <w:t>How to Regulate Non-biological Complex Drugs (NBCDs) and their follow-on versions: Point to Consider. The AAPS Journal, Vol. 16, No. 1, Schellekens H. et al., January 2011</w:t>
      </w:r>
    </w:p>
    <w:p w14:paraId="42A9BF5E" w14:textId="39F3DEE7" w:rsidR="00A104BD" w:rsidRPr="00981286" w:rsidRDefault="003F3A54" w:rsidP="00A104BD">
      <w:pPr>
        <w:pStyle w:val="Default"/>
        <w:numPr>
          <w:ilvl w:val="0"/>
          <w:numId w:val="10"/>
        </w:numPr>
        <w:ind w:left="426" w:hanging="426"/>
        <w:rPr>
          <w:sz w:val="18"/>
          <w:szCs w:val="20"/>
          <w:lang w:val="nl-BE"/>
        </w:rPr>
      </w:pPr>
      <w:r w:rsidRPr="008C436F">
        <w:rPr>
          <w:sz w:val="18"/>
          <w:szCs w:val="18"/>
          <w:lang w:val="fr-BE"/>
        </w:rPr>
        <w:t>Arrêté royal du 1er février 2018 fixant les procédures, délais et conditions en matière d’intervention de l’assurance obligatoire soins de santé et indemnités dans le coût des spécialités pharmaceutiques</w:t>
      </w:r>
    </w:p>
    <w:p w14:paraId="051F5FBB" w14:textId="1AB4F386" w:rsidR="00A104BD" w:rsidRPr="00981286" w:rsidRDefault="005A3F2B" w:rsidP="00A104BD">
      <w:pPr>
        <w:pStyle w:val="Default"/>
        <w:numPr>
          <w:ilvl w:val="0"/>
          <w:numId w:val="10"/>
        </w:numPr>
        <w:ind w:left="426" w:hanging="426"/>
        <w:rPr>
          <w:sz w:val="18"/>
          <w:szCs w:val="20"/>
          <w:lang w:val="nl-BE"/>
        </w:rPr>
      </w:pPr>
      <w:r w:rsidRPr="008C436F">
        <w:rPr>
          <w:sz w:val="18"/>
          <w:szCs w:val="18"/>
          <w:lang w:val="fr-BE"/>
        </w:rPr>
        <w:t>Arrêté royal du 10 août 2005 fixant les modalités de la prescription à usage humain</w:t>
      </w:r>
    </w:p>
    <w:p w14:paraId="1FA82F99" w14:textId="154BEFFA" w:rsidR="00A104BD" w:rsidRPr="00981286" w:rsidRDefault="005A3F2B" w:rsidP="00A104BD">
      <w:pPr>
        <w:pStyle w:val="Default"/>
        <w:numPr>
          <w:ilvl w:val="0"/>
          <w:numId w:val="10"/>
        </w:numPr>
        <w:ind w:left="426" w:hanging="426"/>
        <w:rPr>
          <w:sz w:val="18"/>
          <w:szCs w:val="20"/>
          <w:lang w:val="nl-BE"/>
        </w:rPr>
      </w:pPr>
      <w:r w:rsidRPr="008C436F">
        <w:rPr>
          <w:sz w:val="18"/>
          <w:szCs w:val="18"/>
          <w:lang w:val="fr-BE"/>
        </w:rPr>
        <w:t>Arrêté royal du 14 décembre 2006 relatif aux médicaments à usage humain et vétérinaire</w:t>
      </w:r>
    </w:p>
    <w:p w14:paraId="1236CFEF" w14:textId="2B11F689" w:rsidR="00A104BD" w:rsidRPr="00981286" w:rsidRDefault="005A3F2B" w:rsidP="00A104BD">
      <w:pPr>
        <w:pStyle w:val="Default"/>
        <w:numPr>
          <w:ilvl w:val="0"/>
          <w:numId w:val="10"/>
        </w:numPr>
        <w:ind w:left="426" w:hanging="426"/>
        <w:rPr>
          <w:sz w:val="18"/>
          <w:szCs w:val="20"/>
          <w:lang w:val="nl-BE"/>
        </w:rPr>
      </w:pPr>
      <w:r w:rsidRPr="008C436F">
        <w:rPr>
          <w:sz w:val="18"/>
          <w:szCs w:val="18"/>
          <w:lang w:val="fr-BE"/>
        </w:rPr>
        <w:t>Arrêté royal du 31 décembre 1930 réglementant les substances soporifiques et stupéfiantes, et relatif à la réduction des risques et à l'avis thérapeutique</w:t>
      </w:r>
    </w:p>
    <w:p w14:paraId="358EC4B7" w14:textId="77777777" w:rsidR="00040B35" w:rsidRPr="00040B35" w:rsidRDefault="005A3F2B" w:rsidP="00A104BD">
      <w:pPr>
        <w:pStyle w:val="Default"/>
        <w:numPr>
          <w:ilvl w:val="0"/>
          <w:numId w:val="10"/>
        </w:numPr>
        <w:ind w:left="426" w:hanging="426"/>
        <w:rPr>
          <w:sz w:val="18"/>
          <w:szCs w:val="20"/>
          <w:lang w:val="nl-BE"/>
        </w:rPr>
      </w:pPr>
      <w:r w:rsidRPr="008C436F">
        <w:rPr>
          <w:sz w:val="18"/>
          <w:szCs w:val="18"/>
          <w:lang w:val="fr-BE"/>
        </w:rPr>
        <w:t>Arrêté royal du 22 janvier 1998 réglementant certaines substances psychotropes, et relatif à la réduction des risques et à l'avis thérapeutique</w:t>
      </w:r>
    </w:p>
    <w:p w14:paraId="5BD3C503" w14:textId="411D6AA9" w:rsidR="00A104BD" w:rsidRPr="00D87330" w:rsidRDefault="00A104BD" w:rsidP="00A104BD">
      <w:pPr>
        <w:pStyle w:val="Default"/>
        <w:numPr>
          <w:ilvl w:val="0"/>
          <w:numId w:val="10"/>
        </w:numPr>
        <w:ind w:left="426" w:hanging="426"/>
        <w:rPr>
          <w:sz w:val="18"/>
          <w:szCs w:val="20"/>
          <w:lang w:val="nl-BE"/>
        </w:rPr>
      </w:pPr>
      <w:r w:rsidRPr="00D87330">
        <w:rPr>
          <w:sz w:val="18"/>
          <w:szCs w:val="20"/>
          <w:lang w:val="nl-BE"/>
        </w:rPr>
        <w:t xml:space="preserve">NICE clinical guideline 137. The epilepsies: the diagnosis and management of the epilepsies in adults and children in primary and secondary care, National Institute for Health and Care Excellence (NICE), UK. Last modified December 2013 </w:t>
      </w:r>
      <w:r w:rsidRPr="00D87330">
        <w:rPr>
          <w:sz w:val="18"/>
          <w:szCs w:val="20"/>
          <w:lang w:val="nl-BE"/>
        </w:rPr>
        <w:br/>
        <w:t>Report C of the Expert Advisory Committee on BA and BE, Canadian authorities, 1992</w:t>
      </w:r>
    </w:p>
    <w:p w14:paraId="6639DEFA" w14:textId="77777777" w:rsidR="00A104BD" w:rsidRPr="00981286" w:rsidRDefault="00A104BD" w:rsidP="00A104BD">
      <w:pPr>
        <w:pStyle w:val="Default"/>
        <w:numPr>
          <w:ilvl w:val="0"/>
          <w:numId w:val="10"/>
        </w:numPr>
        <w:ind w:left="426" w:hanging="426"/>
        <w:rPr>
          <w:sz w:val="18"/>
          <w:szCs w:val="20"/>
          <w:lang w:val="nl-BE"/>
        </w:rPr>
      </w:pPr>
      <w:r w:rsidRPr="00981286">
        <w:rPr>
          <w:sz w:val="18"/>
          <w:szCs w:val="20"/>
          <w:lang w:val="nl-BE"/>
        </w:rPr>
        <w:t>Statement on the scientific rationale supporting interchangeability of biosimilar medicines in the EU, EMA, April 2023, EMA/627319/2022</w:t>
      </w:r>
    </w:p>
    <w:p w14:paraId="552C0352" w14:textId="77777777" w:rsidR="00A104BD" w:rsidRPr="00981286" w:rsidRDefault="00A104BD" w:rsidP="00A104BD">
      <w:pPr>
        <w:pStyle w:val="ListParagraph"/>
        <w:numPr>
          <w:ilvl w:val="0"/>
          <w:numId w:val="10"/>
        </w:numPr>
        <w:spacing w:after="0" w:line="240" w:lineRule="auto"/>
        <w:ind w:left="426" w:hanging="426"/>
        <w:contextualSpacing w:val="0"/>
        <w:rPr>
          <w:rFonts w:ascii="Verdana" w:hAnsi="Verdana" w:cs="Verdana"/>
          <w:color w:val="000000"/>
          <w:sz w:val="18"/>
          <w:szCs w:val="20"/>
          <w:lang w:val="nl-BE"/>
        </w:rPr>
      </w:pPr>
      <w:r w:rsidRPr="00981286">
        <w:rPr>
          <w:rFonts w:ascii="Verdana" w:hAnsi="Verdana" w:cs="Verdana"/>
          <w:color w:val="000000"/>
          <w:sz w:val="18"/>
          <w:szCs w:val="20"/>
          <w:lang w:val="nl-BE"/>
        </w:rPr>
        <w:t>The similarity question for biologicals and non-biological complex drugs. Eur J Pharm Sci, Crommelin DJ et al., August 30, 2015; 76: 10-7</w:t>
      </w:r>
    </w:p>
    <w:p w14:paraId="270FF0ED" w14:textId="77777777" w:rsidR="00A104BD" w:rsidRDefault="00A104BD" w:rsidP="003F3A54">
      <w:pPr>
        <w:pStyle w:val="Default"/>
        <w:ind w:left="426"/>
        <w:rPr>
          <w:sz w:val="18"/>
          <w:szCs w:val="18"/>
          <w:lang w:val="fr-BE"/>
        </w:rPr>
      </w:pPr>
    </w:p>
    <w:sectPr w:rsidR="00A104BD" w:rsidSect="00186B92">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9F08" w14:textId="77777777" w:rsidR="00DD6AE8" w:rsidRDefault="00DD6AE8" w:rsidP="004D6006">
      <w:pPr>
        <w:spacing w:after="0" w:line="240" w:lineRule="auto"/>
      </w:pPr>
      <w:r>
        <w:separator/>
      </w:r>
    </w:p>
  </w:endnote>
  <w:endnote w:type="continuationSeparator" w:id="0">
    <w:p w14:paraId="687A28B6" w14:textId="77777777" w:rsidR="00DD6AE8" w:rsidRDefault="00DD6AE8" w:rsidP="004D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08F2" w14:textId="4605B339" w:rsidR="00333BF7" w:rsidRPr="00F003B9" w:rsidRDefault="004B12FB" w:rsidP="00F003B9">
    <w:pPr>
      <w:pStyle w:val="Paragraphestandard"/>
      <w:rPr>
        <w:rFonts w:ascii="Verdana" w:hAnsi="Verdana" w:cs="Verdana"/>
        <w:b/>
        <w:bCs/>
        <w:color w:val="6997C8"/>
        <w:sz w:val="16"/>
        <w:szCs w:val="16"/>
        <w:lang w:val="nl-NL"/>
      </w:rPr>
    </w:pPr>
    <w:r w:rsidRPr="00186B92">
      <w:rPr>
        <w:rFonts w:ascii="Verdana" w:hAnsi="Verdana" w:cs="Verdana"/>
        <w:b/>
        <w:bCs/>
        <w:noProof/>
        <w:color w:val="6997C8"/>
        <w:sz w:val="16"/>
        <w:szCs w:val="16"/>
        <w:lang w:val="nl-NL"/>
      </w:rPr>
      <mc:AlternateContent>
        <mc:Choice Requires="wps">
          <w:drawing>
            <wp:anchor distT="45720" distB="45720" distL="114300" distR="114300" simplePos="0" relativeHeight="251666432" behindDoc="0" locked="0" layoutInCell="1" allowOverlap="1" wp14:anchorId="7C0A08EB" wp14:editId="63B97549">
              <wp:simplePos x="0" y="0"/>
              <wp:positionH relativeFrom="margin">
                <wp:posOffset>2712085</wp:posOffset>
              </wp:positionH>
              <wp:positionV relativeFrom="paragraph">
                <wp:posOffset>32443</wp:posOffset>
              </wp:positionV>
              <wp:extent cx="872490" cy="29781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97815"/>
                      </a:xfrm>
                      <a:prstGeom prst="rect">
                        <a:avLst/>
                      </a:prstGeom>
                      <a:noFill/>
                      <a:ln w="9525">
                        <a:noFill/>
                        <a:miter lim="800000"/>
                        <a:headEnd/>
                        <a:tailEnd/>
                      </a:ln>
                    </wps:spPr>
                    <wps:txbx>
                      <w:txbxContent>
                        <w:p w14:paraId="514304AF" w14:textId="5B22C2A9" w:rsidR="004B12FB" w:rsidRPr="004B12FB" w:rsidRDefault="004B12FB" w:rsidP="004B12FB">
                          <w:pPr>
                            <w:tabs>
                              <w:tab w:val="center" w:pos="4550"/>
                              <w:tab w:val="left" w:pos="5818"/>
                            </w:tabs>
                            <w:ind w:right="260"/>
                            <w:jc w:val="center"/>
                            <w:rPr>
                              <w:rFonts w:ascii="Verdana" w:hAnsi="Verdana"/>
                              <w:color w:val="222A35" w:themeColor="text2" w:themeShade="80"/>
                              <w:sz w:val="14"/>
                              <w:szCs w:val="14"/>
                            </w:rPr>
                          </w:pP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PAGE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r w:rsidRPr="004B12FB">
                            <w:rPr>
                              <w:rFonts w:ascii="Verdana" w:hAnsi="Verdana"/>
                              <w:color w:val="323E4F" w:themeColor="text2" w:themeShade="BF"/>
                              <w:sz w:val="14"/>
                              <w:szCs w:val="14"/>
                              <w:lang w:val="fr-FR"/>
                            </w:rPr>
                            <w:t xml:space="preserve"> | </w:t>
                          </w: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NUMPAGES  \* Arabic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p>
                        <w:p w14:paraId="6907F42D" w14:textId="537B9630" w:rsidR="00186B92" w:rsidRPr="00186B92" w:rsidRDefault="00186B92">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08EB" id="_x0000_t202" coordsize="21600,21600" o:spt="202" path="m,l,21600r21600,l21600,xe">
              <v:stroke joinstyle="miter"/>
              <v:path gradientshapeok="t" o:connecttype="rect"/>
            </v:shapetype>
            <v:shape id="_x0000_s1027" type="#_x0000_t202" style="position:absolute;margin-left:213.55pt;margin-top:2.55pt;width:68.7pt;height:2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" filled="f" stroked="f">
              <v:textbox>
                <w:txbxContent>
                  <w:p w14:paraId="514304AF" w14:textId="5B22C2A9" w:rsidR="004B12FB" w:rsidRPr="004B12FB" w:rsidRDefault="004B12FB" w:rsidP="004B12FB">
                    <w:pPr>
                      <w:tabs>
                        <w:tab w:val="center" w:pos="4550"/>
                        <w:tab w:val="left" w:pos="5818"/>
                      </w:tabs>
                      <w:ind w:right="260"/>
                      <w:jc w:val="center"/>
                      <w:rPr>
                        <w:rFonts w:ascii="Verdana" w:hAnsi="Verdana"/>
                        <w:color w:val="222A35" w:themeColor="text2" w:themeShade="80"/>
                        <w:sz w:val="14"/>
                        <w:szCs w:val="14"/>
                      </w:rPr>
                    </w:pP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PAGE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r w:rsidRPr="004B12FB">
                      <w:rPr>
                        <w:rFonts w:ascii="Verdana" w:hAnsi="Verdana"/>
                        <w:color w:val="323E4F" w:themeColor="text2" w:themeShade="BF"/>
                        <w:sz w:val="14"/>
                        <w:szCs w:val="14"/>
                        <w:lang w:val="fr-FR"/>
                      </w:rPr>
                      <w:t xml:space="preserve"> | </w:t>
                    </w:r>
                    <w:r w:rsidRPr="004B12FB">
                      <w:rPr>
                        <w:rFonts w:ascii="Verdana" w:hAnsi="Verdana"/>
                        <w:color w:val="323E4F" w:themeColor="text2" w:themeShade="BF"/>
                        <w:sz w:val="14"/>
                        <w:szCs w:val="14"/>
                      </w:rPr>
                      <w:fldChar w:fldCharType="begin"/>
                    </w:r>
                    <w:r w:rsidRPr="004B12FB">
                      <w:rPr>
                        <w:rFonts w:ascii="Verdana" w:hAnsi="Verdana"/>
                        <w:color w:val="323E4F" w:themeColor="text2" w:themeShade="BF"/>
                        <w:sz w:val="14"/>
                        <w:szCs w:val="14"/>
                      </w:rPr>
                      <w:instrText>NUMPAGES  \* Arabic  \* MERGEFORMAT</w:instrText>
                    </w:r>
                    <w:r w:rsidRPr="004B12FB">
                      <w:rPr>
                        <w:rFonts w:ascii="Verdana" w:hAnsi="Verdana"/>
                        <w:color w:val="323E4F" w:themeColor="text2" w:themeShade="BF"/>
                        <w:sz w:val="14"/>
                        <w:szCs w:val="14"/>
                      </w:rPr>
                      <w:fldChar w:fldCharType="separate"/>
                    </w:r>
                    <w:r w:rsidRPr="004B12FB">
                      <w:rPr>
                        <w:rFonts w:ascii="Verdana" w:hAnsi="Verdana"/>
                        <w:color w:val="323E4F" w:themeColor="text2" w:themeShade="BF"/>
                        <w:sz w:val="14"/>
                        <w:szCs w:val="14"/>
                      </w:rPr>
                      <w:t>2</w:t>
                    </w:r>
                    <w:r w:rsidRPr="004B12FB">
                      <w:rPr>
                        <w:rFonts w:ascii="Verdana" w:hAnsi="Verdana"/>
                        <w:color w:val="323E4F" w:themeColor="text2" w:themeShade="BF"/>
                        <w:sz w:val="14"/>
                        <w:szCs w:val="14"/>
                      </w:rPr>
                      <w:fldChar w:fldCharType="end"/>
                    </w:r>
                  </w:p>
                  <w:p w14:paraId="6907F42D" w14:textId="537B9630" w:rsidR="00186B92" w:rsidRPr="00186B92" w:rsidRDefault="00186B92">
                    <w:pPr>
                      <w:rPr>
                        <w:lang w:val="fr-BE"/>
                      </w:rPr>
                    </w:pPr>
                  </w:p>
                </w:txbxContent>
              </v:textbox>
              <w10:wrap anchorx="margin"/>
            </v:shape>
          </w:pict>
        </mc:Fallback>
      </mc:AlternateContent>
    </w:r>
    <w:r w:rsidRPr="00186B92">
      <w:rPr>
        <w:rFonts w:ascii="Verdana" w:hAnsi="Verdana" w:cs="Verdana"/>
        <w:b/>
        <w:bCs/>
        <w:noProof/>
        <w:color w:val="6997C8"/>
        <w:sz w:val="16"/>
        <w:szCs w:val="16"/>
        <w:lang w:val="nl-NL"/>
      </w:rPr>
      <mc:AlternateContent>
        <mc:Choice Requires="wps">
          <w:drawing>
            <wp:anchor distT="45720" distB="45720" distL="114300" distR="114300" simplePos="0" relativeHeight="251668480" behindDoc="0" locked="0" layoutInCell="1" allowOverlap="1" wp14:anchorId="655C0522" wp14:editId="0B96E579">
              <wp:simplePos x="0" y="0"/>
              <wp:positionH relativeFrom="margin">
                <wp:posOffset>262890</wp:posOffset>
              </wp:positionH>
              <wp:positionV relativeFrom="paragraph">
                <wp:posOffset>23553</wp:posOffset>
              </wp:positionV>
              <wp:extent cx="2576830" cy="3810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81000"/>
                      </a:xfrm>
                      <a:prstGeom prst="rect">
                        <a:avLst/>
                      </a:prstGeom>
                      <a:noFill/>
                      <a:ln w="9525">
                        <a:noFill/>
                        <a:miter lim="800000"/>
                        <a:headEnd/>
                        <a:tailEnd/>
                      </a:ln>
                    </wps:spPr>
                    <wps:txbx>
                      <w:txbxContent>
                        <w:p w14:paraId="450F1629" w14:textId="502F7E11" w:rsidR="004B12FB" w:rsidRPr="004B12FB" w:rsidRDefault="00AA15FC" w:rsidP="004B12FB">
                          <w:pPr>
                            <w:rPr>
                              <w:color w:val="729BC8"/>
                              <w:lang w:val="fr-BE"/>
                            </w:rPr>
                          </w:pPr>
                          <w:r w:rsidRPr="00AA15FC">
                            <w:rPr>
                              <w:rFonts w:ascii="Verdana" w:hAnsi="Verdana"/>
                              <w:color w:val="729BC8"/>
                              <w:sz w:val="14"/>
                              <w:szCs w:val="14"/>
                              <w:lang w:val="fr-BE"/>
                            </w:rPr>
                            <w:t>Prescription en DCI – Règles opérationnelles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C0522" id="_x0000_s1028" type="#_x0000_t202" style="position:absolute;margin-left:20.7pt;margin-top:1.85pt;width:202.9pt;height:3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" filled="f" stroked="f">
              <v:textbox>
                <w:txbxContent>
                  <w:p w14:paraId="450F1629" w14:textId="502F7E11" w:rsidR="004B12FB" w:rsidRPr="004B12FB" w:rsidRDefault="00AA15FC" w:rsidP="004B12FB">
                    <w:pPr>
                      <w:rPr>
                        <w:color w:val="729BC8"/>
                        <w:lang w:val="fr-BE"/>
                      </w:rPr>
                    </w:pPr>
                    <w:r w:rsidRPr="00AA15FC">
                      <w:rPr>
                        <w:rFonts w:ascii="Verdana" w:hAnsi="Verdana"/>
                        <w:color w:val="729BC8"/>
                        <w:sz w:val="14"/>
                        <w:szCs w:val="14"/>
                        <w:lang w:val="fr-BE"/>
                      </w:rPr>
                      <w:t>Prescription en DCI – Règles opérationnelles</w:t>
                    </w:r>
                  </w:p>
                </w:txbxContent>
              </v:textbox>
              <w10:wrap anchorx="margin"/>
            </v:shape>
          </w:pict>
        </mc:Fallback>
      </mc:AlternateContent>
    </w:r>
    <w:r w:rsidRPr="00186B92">
      <w:rPr>
        <w:rFonts w:ascii="Verdana" w:hAnsi="Verdana" w:cs="Verdana"/>
        <w:b/>
        <w:bCs/>
        <w:noProof/>
        <w:color w:val="6997C8"/>
        <w:sz w:val="16"/>
        <w:szCs w:val="16"/>
        <w:lang w:val="nl-NL"/>
      </w:rPr>
      <w:drawing>
        <wp:anchor distT="0" distB="0" distL="114300" distR="114300" simplePos="0" relativeHeight="251663360" behindDoc="0" locked="0" layoutInCell="1" allowOverlap="1" wp14:anchorId="2D220D76" wp14:editId="3AA846B1">
          <wp:simplePos x="0" y="0"/>
          <wp:positionH relativeFrom="margin">
            <wp:posOffset>0</wp:posOffset>
          </wp:positionH>
          <wp:positionV relativeFrom="paragraph">
            <wp:posOffset>-78047</wp:posOffset>
          </wp:positionV>
          <wp:extent cx="309245" cy="43688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mps Symbole - CMY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245" cy="436880"/>
                  </a:xfrm>
                  <a:prstGeom prst="rect">
                    <a:avLst/>
                  </a:prstGeom>
                </pic:spPr>
              </pic:pic>
            </a:graphicData>
          </a:graphic>
          <wp14:sizeRelH relativeFrom="margin">
            <wp14:pctWidth>0</wp14:pctWidth>
          </wp14:sizeRelH>
          <wp14:sizeRelV relativeFrom="margin">
            <wp14:pctHeight>0</wp14:pctHeight>
          </wp14:sizeRelV>
        </wp:anchor>
      </w:drawing>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1C1955" w:rsidRPr="00F003B9">
      <w:rPr>
        <w:rFonts w:ascii="Verdana" w:hAnsi="Verdana" w:cs="Verdana"/>
        <w:b/>
        <w:bCs/>
        <w:color w:val="6997C8"/>
        <w:sz w:val="16"/>
        <w:szCs w:val="16"/>
        <w:lang w:val="nl-NL"/>
      </w:rPr>
      <w:tab/>
    </w:r>
    <w:r w:rsidR="00333BF7" w:rsidRPr="00F003B9">
      <w:rPr>
        <w:rFonts w:ascii="Verdana" w:hAnsi="Verdana" w:cs="Verdana"/>
        <w:b/>
        <w:bCs/>
        <w:color w:val="6997C8"/>
        <w:sz w:val="16"/>
        <w:szCs w:val="16"/>
        <w:lang w:val="nl-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1762" w14:textId="0561DDA4" w:rsidR="00DD1598" w:rsidRDefault="00DD1598">
    <w:pPr>
      <w:pStyle w:val="Footer"/>
    </w:pPr>
    <w:r w:rsidRPr="00186B92">
      <w:rPr>
        <w:noProof/>
      </w:rPr>
      <w:drawing>
        <wp:anchor distT="0" distB="0" distL="114300" distR="114300" simplePos="0" relativeHeight="251660288" behindDoc="1" locked="0" layoutInCell="1" allowOverlap="1" wp14:anchorId="3DEE1740" wp14:editId="5F82822E">
          <wp:simplePos x="0" y="0"/>
          <wp:positionH relativeFrom="column">
            <wp:posOffset>5739765</wp:posOffset>
          </wp:positionH>
          <wp:positionV relativeFrom="paragraph">
            <wp:posOffset>-73083</wp:posOffset>
          </wp:positionV>
          <wp:extent cx="396240" cy="286385"/>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86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BC66" w14:textId="77777777" w:rsidR="00DD6AE8" w:rsidRDefault="00DD6AE8" w:rsidP="004D6006">
      <w:pPr>
        <w:spacing w:after="0" w:line="240" w:lineRule="auto"/>
      </w:pPr>
      <w:r>
        <w:separator/>
      </w:r>
    </w:p>
  </w:footnote>
  <w:footnote w:type="continuationSeparator" w:id="0">
    <w:p w14:paraId="66FE36DD" w14:textId="77777777" w:rsidR="00DD6AE8" w:rsidRDefault="00DD6AE8" w:rsidP="004D6006">
      <w:pPr>
        <w:spacing w:after="0" w:line="240" w:lineRule="auto"/>
      </w:pPr>
      <w:r>
        <w:continuationSeparator/>
      </w:r>
    </w:p>
  </w:footnote>
  <w:footnote w:id="1">
    <w:p w14:paraId="7455CF41" w14:textId="5A882F2D" w:rsidR="00AB18A6" w:rsidRPr="00E13A52" w:rsidRDefault="00AB18A6" w:rsidP="00AB18A6">
      <w:pPr>
        <w:pStyle w:val="FootnoteText"/>
        <w:rPr>
          <w:lang w:val="fr-BE"/>
        </w:rPr>
      </w:pPr>
      <w:r w:rsidRPr="00145F26">
        <w:rPr>
          <w:rStyle w:val="FootnoteReference"/>
        </w:rPr>
        <w:footnoteRef/>
      </w:r>
      <w:r w:rsidRPr="00145F26">
        <w:rPr>
          <w:lang w:val="fr"/>
        </w:rPr>
        <w:t xml:space="preserve"> </w:t>
      </w:r>
      <w:r w:rsidRPr="00145F26">
        <w:rPr>
          <w:sz w:val="18"/>
          <w:szCs w:val="18"/>
          <w:lang w:val="fr"/>
        </w:rPr>
        <w:t xml:space="preserve">Comme défini dans </w:t>
      </w:r>
      <w:hyperlink r:id="rId1" w:history="1">
        <w:r w:rsidRPr="00145F26">
          <w:rPr>
            <w:rStyle w:val="Hyperlink"/>
            <w:sz w:val="18"/>
            <w:szCs w:val="18"/>
            <w:lang w:val="fr"/>
          </w:rPr>
          <w:t xml:space="preserve">l'arrêté royal du 6 septembre </w:t>
        </w:r>
        <w:r w:rsidR="00AF04F2">
          <w:rPr>
            <w:rStyle w:val="Hyperlink"/>
            <w:sz w:val="18"/>
            <w:szCs w:val="18"/>
            <w:lang w:val="fr"/>
          </w:rPr>
          <w:t xml:space="preserve">2017 </w:t>
        </w:r>
        <w:r w:rsidR="00AF04F2" w:rsidRPr="00AF04F2">
          <w:rPr>
            <w:rStyle w:val="Hyperlink"/>
          </w:rPr>
          <w:t>réglementant les substances stupéfiantes et psychotropes</w:t>
        </w:r>
      </w:hyperlink>
      <w:r w:rsidRPr="00145F26">
        <w:rPr>
          <w:sz w:val="18"/>
          <w:szCs w:val="18"/>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BC42" w14:textId="49596419" w:rsidR="00F003B9" w:rsidRDefault="004B12FB">
    <w:pPr>
      <w:pStyle w:val="Header"/>
    </w:pPr>
    <w:r>
      <w:rPr>
        <w:noProof/>
      </w:rPr>
      <w:drawing>
        <wp:anchor distT="0" distB="0" distL="114300" distR="114300" simplePos="0" relativeHeight="251670528" behindDoc="0" locked="0" layoutInCell="1" allowOverlap="1" wp14:anchorId="7686C091" wp14:editId="41F384C5">
          <wp:simplePos x="0" y="0"/>
          <wp:positionH relativeFrom="column">
            <wp:posOffset>-234315</wp:posOffset>
          </wp:positionH>
          <wp:positionV relativeFrom="paragraph">
            <wp:posOffset>-223578</wp:posOffset>
          </wp:positionV>
          <wp:extent cx="2583180" cy="1009744"/>
          <wp:effectExtent l="0" t="0" r="762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3180" cy="1009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B92" w:rsidRPr="00186B92">
      <w:rPr>
        <w:noProof/>
      </w:rPr>
      <w:drawing>
        <wp:anchor distT="0" distB="0" distL="114300" distR="114300" simplePos="0" relativeHeight="251659264" behindDoc="1" locked="0" layoutInCell="1" allowOverlap="1" wp14:anchorId="4254D3BE" wp14:editId="448D8ECB">
          <wp:simplePos x="0" y="0"/>
          <wp:positionH relativeFrom="column">
            <wp:posOffset>2056765</wp:posOffset>
          </wp:positionH>
          <wp:positionV relativeFrom="paragraph">
            <wp:posOffset>-457835</wp:posOffset>
          </wp:positionV>
          <wp:extent cx="7898765" cy="11164570"/>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mps Symbole - CMYB.jpg"/>
                  <pic:cNvPicPr/>
                </pic:nvPicPr>
                <pic:blipFill>
                  <a:blip r:embed="rId2" cstate="print">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898765" cy="11164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31C9"/>
    <w:multiLevelType w:val="multilevel"/>
    <w:tmpl w:val="7D3CE008"/>
    <w:lvl w:ilvl="0">
      <w:start w:val="1"/>
      <w:numFmt w:val="decimal"/>
      <w:lvlText w:val="%1."/>
      <w:lvlJc w:val="left"/>
      <w:pPr>
        <w:ind w:left="720" w:hanging="360"/>
      </w:pPr>
      <w:rPr>
        <w:rFonts w:hint="default"/>
        <w:b w:val="0"/>
        <w:bCs w:val="0"/>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CAC0523"/>
    <w:multiLevelType w:val="hybridMultilevel"/>
    <w:tmpl w:val="83749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532CC"/>
    <w:multiLevelType w:val="hybridMultilevel"/>
    <w:tmpl w:val="BAEEE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93693"/>
    <w:multiLevelType w:val="multilevel"/>
    <w:tmpl w:val="A36ABD36"/>
    <w:lvl w:ilvl="0">
      <w:start w:val="7"/>
      <w:numFmt w:val="decimal"/>
      <w:lvlText w:val="%1"/>
      <w:lvlJc w:val="left"/>
      <w:pPr>
        <w:ind w:left="360" w:hanging="360"/>
      </w:pPr>
      <w:rPr>
        <w:rFonts w:hint="default"/>
        <w:color w:val="FF0000"/>
      </w:rPr>
    </w:lvl>
    <w:lvl w:ilvl="1">
      <w:start w:val="3"/>
      <w:numFmt w:val="decimal"/>
      <w:lvlText w:val="%1.%2"/>
      <w:lvlJc w:val="left"/>
      <w:pPr>
        <w:ind w:left="672" w:hanging="360"/>
      </w:pPr>
      <w:rPr>
        <w:rFonts w:hint="default"/>
        <w:color w:val="FF0000"/>
      </w:rPr>
    </w:lvl>
    <w:lvl w:ilvl="2">
      <w:start w:val="1"/>
      <w:numFmt w:val="decimal"/>
      <w:lvlText w:val="%1.%2.%3"/>
      <w:lvlJc w:val="left"/>
      <w:pPr>
        <w:ind w:left="1344" w:hanging="720"/>
      </w:pPr>
      <w:rPr>
        <w:rFonts w:hint="default"/>
        <w:color w:val="FF0000"/>
      </w:rPr>
    </w:lvl>
    <w:lvl w:ilvl="3">
      <w:start w:val="1"/>
      <w:numFmt w:val="decimal"/>
      <w:lvlText w:val="%1.%2.%3.%4"/>
      <w:lvlJc w:val="left"/>
      <w:pPr>
        <w:ind w:left="2016" w:hanging="1080"/>
      </w:pPr>
      <w:rPr>
        <w:rFonts w:hint="default"/>
        <w:color w:val="FF0000"/>
      </w:rPr>
    </w:lvl>
    <w:lvl w:ilvl="4">
      <w:start w:val="1"/>
      <w:numFmt w:val="decimal"/>
      <w:lvlText w:val="%1.%2.%3.%4.%5"/>
      <w:lvlJc w:val="left"/>
      <w:pPr>
        <w:ind w:left="2328" w:hanging="1080"/>
      </w:pPr>
      <w:rPr>
        <w:rFonts w:hint="default"/>
        <w:color w:val="FF0000"/>
      </w:rPr>
    </w:lvl>
    <w:lvl w:ilvl="5">
      <w:start w:val="1"/>
      <w:numFmt w:val="decimal"/>
      <w:lvlText w:val="%1.%2.%3.%4.%5.%6"/>
      <w:lvlJc w:val="left"/>
      <w:pPr>
        <w:ind w:left="3000" w:hanging="1440"/>
      </w:pPr>
      <w:rPr>
        <w:rFonts w:hint="default"/>
        <w:color w:val="FF0000"/>
      </w:rPr>
    </w:lvl>
    <w:lvl w:ilvl="6">
      <w:start w:val="1"/>
      <w:numFmt w:val="decimal"/>
      <w:lvlText w:val="%1.%2.%3.%4.%5.%6.%7"/>
      <w:lvlJc w:val="left"/>
      <w:pPr>
        <w:ind w:left="3312" w:hanging="1440"/>
      </w:pPr>
      <w:rPr>
        <w:rFonts w:hint="default"/>
        <w:color w:val="FF0000"/>
      </w:rPr>
    </w:lvl>
    <w:lvl w:ilvl="7">
      <w:start w:val="1"/>
      <w:numFmt w:val="decimal"/>
      <w:lvlText w:val="%1.%2.%3.%4.%5.%6.%7.%8"/>
      <w:lvlJc w:val="left"/>
      <w:pPr>
        <w:ind w:left="3984" w:hanging="1800"/>
      </w:pPr>
      <w:rPr>
        <w:rFonts w:hint="default"/>
        <w:color w:val="FF0000"/>
      </w:rPr>
    </w:lvl>
    <w:lvl w:ilvl="8">
      <w:start w:val="1"/>
      <w:numFmt w:val="decimal"/>
      <w:lvlText w:val="%1.%2.%3.%4.%5.%6.%7.%8.%9"/>
      <w:lvlJc w:val="left"/>
      <w:pPr>
        <w:ind w:left="4656" w:hanging="2160"/>
      </w:pPr>
      <w:rPr>
        <w:rFonts w:hint="default"/>
        <w:color w:val="FF0000"/>
      </w:rPr>
    </w:lvl>
  </w:abstractNum>
  <w:abstractNum w:abstractNumId="4" w15:restartNumberingAfterBreak="0">
    <w:nsid w:val="5BAA6590"/>
    <w:multiLevelType w:val="hybridMultilevel"/>
    <w:tmpl w:val="631CAFDA"/>
    <w:lvl w:ilvl="0" w:tplc="0809000F">
      <w:start w:val="1"/>
      <w:numFmt w:val="decimal"/>
      <w:lvlText w:val="%1."/>
      <w:lvlJc w:val="left"/>
      <w:pPr>
        <w:ind w:left="720" w:hanging="360"/>
      </w:pPr>
      <w:rPr>
        <w:rFonts w:hint="default"/>
      </w:rPr>
    </w:lvl>
    <w:lvl w:ilvl="1" w:tplc="CDE2F8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25EE6"/>
    <w:multiLevelType w:val="hybridMultilevel"/>
    <w:tmpl w:val="00645B80"/>
    <w:lvl w:ilvl="0" w:tplc="F8B6FE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676611D"/>
    <w:multiLevelType w:val="hybridMultilevel"/>
    <w:tmpl w:val="9D44CEC2"/>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791B5534"/>
    <w:multiLevelType w:val="hybridMultilevel"/>
    <w:tmpl w:val="2A14A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30C66"/>
    <w:multiLevelType w:val="hybridMultilevel"/>
    <w:tmpl w:val="61BA828C"/>
    <w:lvl w:ilvl="0" w:tplc="9D80E24A">
      <w:start w:val="5"/>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F325B"/>
    <w:multiLevelType w:val="hybridMultilevel"/>
    <w:tmpl w:val="BA92FD26"/>
    <w:lvl w:ilvl="0" w:tplc="1D92D81A">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2752891">
    <w:abstractNumId w:val="4"/>
  </w:num>
  <w:num w:numId="2" w16cid:durableId="2098212446">
    <w:abstractNumId w:val="1"/>
  </w:num>
  <w:num w:numId="3" w16cid:durableId="210504437">
    <w:abstractNumId w:val="8"/>
  </w:num>
  <w:num w:numId="4" w16cid:durableId="2104495933">
    <w:abstractNumId w:val="7"/>
  </w:num>
  <w:num w:numId="5" w16cid:durableId="1216938786">
    <w:abstractNumId w:val="0"/>
  </w:num>
  <w:num w:numId="6" w16cid:durableId="678894975">
    <w:abstractNumId w:val="3"/>
  </w:num>
  <w:num w:numId="7" w16cid:durableId="1347948130">
    <w:abstractNumId w:val="5"/>
  </w:num>
  <w:num w:numId="8" w16cid:durableId="2013559165">
    <w:abstractNumId w:val="6"/>
  </w:num>
  <w:num w:numId="9" w16cid:durableId="1666784903">
    <w:abstractNumId w:val="2"/>
  </w:num>
  <w:num w:numId="10" w16cid:durableId="2095201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06"/>
    <w:rsid w:val="00000DB5"/>
    <w:rsid w:val="00014617"/>
    <w:rsid w:val="00040B35"/>
    <w:rsid w:val="000823D9"/>
    <w:rsid w:val="00085D58"/>
    <w:rsid w:val="000966E3"/>
    <w:rsid w:val="000B0F0B"/>
    <w:rsid w:val="000D0EDD"/>
    <w:rsid w:val="001620D3"/>
    <w:rsid w:val="001822D0"/>
    <w:rsid w:val="00186B92"/>
    <w:rsid w:val="001B2827"/>
    <w:rsid w:val="001B5A39"/>
    <w:rsid w:val="001C1955"/>
    <w:rsid w:val="001C7FDE"/>
    <w:rsid w:val="001D31F6"/>
    <w:rsid w:val="00220722"/>
    <w:rsid w:val="0026102F"/>
    <w:rsid w:val="00293267"/>
    <w:rsid w:val="002A49E2"/>
    <w:rsid w:val="002C17F7"/>
    <w:rsid w:val="002D45ED"/>
    <w:rsid w:val="00303836"/>
    <w:rsid w:val="00316CBE"/>
    <w:rsid w:val="00333BF7"/>
    <w:rsid w:val="003427C9"/>
    <w:rsid w:val="003703C6"/>
    <w:rsid w:val="00393C90"/>
    <w:rsid w:val="003C6ED9"/>
    <w:rsid w:val="003F3A54"/>
    <w:rsid w:val="00413B3E"/>
    <w:rsid w:val="00473391"/>
    <w:rsid w:val="004B12FB"/>
    <w:rsid w:val="004D2499"/>
    <w:rsid w:val="004D2B44"/>
    <w:rsid w:val="004D6006"/>
    <w:rsid w:val="00512014"/>
    <w:rsid w:val="005151AD"/>
    <w:rsid w:val="0052046A"/>
    <w:rsid w:val="0052055A"/>
    <w:rsid w:val="005229F9"/>
    <w:rsid w:val="00523DDD"/>
    <w:rsid w:val="00534DA4"/>
    <w:rsid w:val="005934B0"/>
    <w:rsid w:val="005A3F2B"/>
    <w:rsid w:val="005E1AF8"/>
    <w:rsid w:val="005E33CF"/>
    <w:rsid w:val="005F0464"/>
    <w:rsid w:val="005F477A"/>
    <w:rsid w:val="00617DEF"/>
    <w:rsid w:val="00623E35"/>
    <w:rsid w:val="0063427A"/>
    <w:rsid w:val="0064385C"/>
    <w:rsid w:val="00660AE3"/>
    <w:rsid w:val="00672C94"/>
    <w:rsid w:val="006B31F4"/>
    <w:rsid w:val="006C7775"/>
    <w:rsid w:val="007027A1"/>
    <w:rsid w:val="00706E79"/>
    <w:rsid w:val="007325CD"/>
    <w:rsid w:val="00741208"/>
    <w:rsid w:val="00746076"/>
    <w:rsid w:val="00751777"/>
    <w:rsid w:val="00757951"/>
    <w:rsid w:val="00766D41"/>
    <w:rsid w:val="007B5823"/>
    <w:rsid w:val="007F1F06"/>
    <w:rsid w:val="007F24E8"/>
    <w:rsid w:val="007F5EFE"/>
    <w:rsid w:val="0080192C"/>
    <w:rsid w:val="00820979"/>
    <w:rsid w:val="00833A9B"/>
    <w:rsid w:val="00864C50"/>
    <w:rsid w:val="00872243"/>
    <w:rsid w:val="00884120"/>
    <w:rsid w:val="008A186A"/>
    <w:rsid w:val="008A52D7"/>
    <w:rsid w:val="008C436F"/>
    <w:rsid w:val="00917473"/>
    <w:rsid w:val="00950858"/>
    <w:rsid w:val="00970865"/>
    <w:rsid w:val="00970EE5"/>
    <w:rsid w:val="009A2366"/>
    <w:rsid w:val="009A4797"/>
    <w:rsid w:val="009B7E5E"/>
    <w:rsid w:val="009C6A6F"/>
    <w:rsid w:val="00A104BD"/>
    <w:rsid w:val="00A13421"/>
    <w:rsid w:val="00A23ECA"/>
    <w:rsid w:val="00A71391"/>
    <w:rsid w:val="00A84C52"/>
    <w:rsid w:val="00AA15FC"/>
    <w:rsid w:val="00AA4ADF"/>
    <w:rsid w:val="00AB18A6"/>
    <w:rsid w:val="00AF04F2"/>
    <w:rsid w:val="00B03150"/>
    <w:rsid w:val="00B238AF"/>
    <w:rsid w:val="00B24251"/>
    <w:rsid w:val="00B25C8C"/>
    <w:rsid w:val="00B262F3"/>
    <w:rsid w:val="00B30323"/>
    <w:rsid w:val="00B337D9"/>
    <w:rsid w:val="00B3761E"/>
    <w:rsid w:val="00B5564F"/>
    <w:rsid w:val="00B93CEF"/>
    <w:rsid w:val="00BB1BED"/>
    <w:rsid w:val="00BC6200"/>
    <w:rsid w:val="00BC638A"/>
    <w:rsid w:val="00C40196"/>
    <w:rsid w:val="00C914BE"/>
    <w:rsid w:val="00C92254"/>
    <w:rsid w:val="00CA0751"/>
    <w:rsid w:val="00CC4198"/>
    <w:rsid w:val="00CF453D"/>
    <w:rsid w:val="00D6386C"/>
    <w:rsid w:val="00D85D0C"/>
    <w:rsid w:val="00DA44B1"/>
    <w:rsid w:val="00DC270A"/>
    <w:rsid w:val="00DD1598"/>
    <w:rsid w:val="00DD6AE8"/>
    <w:rsid w:val="00DE3244"/>
    <w:rsid w:val="00E15227"/>
    <w:rsid w:val="00E20DB7"/>
    <w:rsid w:val="00E42FA1"/>
    <w:rsid w:val="00E50D18"/>
    <w:rsid w:val="00EC6356"/>
    <w:rsid w:val="00EE159B"/>
    <w:rsid w:val="00EF3E9A"/>
    <w:rsid w:val="00F003B9"/>
    <w:rsid w:val="00F1077F"/>
    <w:rsid w:val="00F476EC"/>
    <w:rsid w:val="00F511C0"/>
    <w:rsid w:val="00F712F3"/>
    <w:rsid w:val="00F731F8"/>
    <w:rsid w:val="00FA336B"/>
    <w:rsid w:val="00FA427E"/>
    <w:rsid w:val="00FD20F7"/>
    <w:rsid w:val="00FE0D27"/>
    <w:rsid w:val="00FE45A5"/>
    <w:rsid w:val="00FF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927D0"/>
  <w15:chartTrackingRefBased/>
  <w15:docId w15:val="{F30393AF-9942-416D-9888-C0490F53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4F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006"/>
  </w:style>
  <w:style w:type="paragraph" w:styleId="Footer">
    <w:name w:val="footer"/>
    <w:basedOn w:val="Normal"/>
    <w:link w:val="FooterChar"/>
    <w:uiPriority w:val="99"/>
    <w:unhideWhenUsed/>
    <w:rsid w:val="004D60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006"/>
  </w:style>
  <w:style w:type="paragraph" w:customStyle="1" w:styleId="Paragraphestandard">
    <w:name w:val="[Paragraphe standard]"/>
    <w:basedOn w:val="Normal"/>
    <w:uiPriority w:val="99"/>
    <w:rsid w:val="004D6006"/>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styleId="Hyperlink">
    <w:name w:val="Hyperlink"/>
    <w:basedOn w:val="DefaultParagraphFont"/>
    <w:uiPriority w:val="99"/>
    <w:unhideWhenUsed/>
    <w:rsid w:val="004D6006"/>
    <w:rPr>
      <w:color w:val="0563C1" w:themeColor="hyperlink"/>
      <w:u w:val="single"/>
    </w:rPr>
  </w:style>
  <w:style w:type="paragraph" w:styleId="BalloonText">
    <w:name w:val="Balloon Text"/>
    <w:basedOn w:val="Normal"/>
    <w:link w:val="BalloonTextChar"/>
    <w:uiPriority w:val="99"/>
    <w:semiHidden/>
    <w:unhideWhenUsed/>
    <w:rsid w:val="00801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2C"/>
    <w:rPr>
      <w:rFonts w:ascii="Segoe UI" w:hAnsi="Segoe UI" w:cs="Segoe UI"/>
      <w:sz w:val="18"/>
      <w:szCs w:val="18"/>
    </w:rPr>
  </w:style>
  <w:style w:type="character" w:styleId="CommentReference">
    <w:name w:val="annotation reference"/>
    <w:basedOn w:val="DefaultParagraphFont"/>
    <w:uiPriority w:val="99"/>
    <w:semiHidden/>
    <w:unhideWhenUsed/>
    <w:rsid w:val="001C1955"/>
    <w:rPr>
      <w:sz w:val="16"/>
      <w:szCs w:val="16"/>
    </w:rPr>
  </w:style>
  <w:style w:type="paragraph" w:styleId="CommentText">
    <w:name w:val="annotation text"/>
    <w:basedOn w:val="Normal"/>
    <w:link w:val="CommentTextChar"/>
    <w:uiPriority w:val="99"/>
    <w:unhideWhenUsed/>
    <w:rsid w:val="001C1955"/>
    <w:pPr>
      <w:spacing w:line="240" w:lineRule="auto"/>
    </w:pPr>
    <w:rPr>
      <w:sz w:val="20"/>
      <w:szCs w:val="20"/>
    </w:rPr>
  </w:style>
  <w:style w:type="character" w:customStyle="1" w:styleId="CommentTextChar">
    <w:name w:val="Comment Text Char"/>
    <w:basedOn w:val="DefaultParagraphFont"/>
    <w:link w:val="CommentText"/>
    <w:uiPriority w:val="99"/>
    <w:rsid w:val="001C1955"/>
    <w:rPr>
      <w:sz w:val="20"/>
      <w:szCs w:val="20"/>
    </w:rPr>
  </w:style>
  <w:style w:type="paragraph" w:styleId="CommentSubject">
    <w:name w:val="annotation subject"/>
    <w:basedOn w:val="CommentText"/>
    <w:next w:val="CommentText"/>
    <w:link w:val="CommentSubjectChar"/>
    <w:uiPriority w:val="99"/>
    <w:semiHidden/>
    <w:unhideWhenUsed/>
    <w:rsid w:val="001C1955"/>
    <w:rPr>
      <w:b/>
      <w:bCs/>
    </w:rPr>
  </w:style>
  <w:style w:type="character" w:customStyle="1" w:styleId="CommentSubjectChar">
    <w:name w:val="Comment Subject Char"/>
    <w:basedOn w:val="CommentTextChar"/>
    <w:link w:val="CommentSubject"/>
    <w:uiPriority w:val="99"/>
    <w:semiHidden/>
    <w:rsid w:val="001C1955"/>
    <w:rPr>
      <w:b/>
      <w:bCs/>
      <w:sz w:val="20"/>
      <w:szCs w:val="20"/>
    </w:rPr>
  </w:style>
  <w:style w:type="paragraph" w:customStyle="1" w:styleId="Default">
    <w:name w:val="Default"/>
    <w:rsid w:val="00AB18A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B18A6"/>
    <w:pPr>
      <w:ind w:left="720"/>
      <w:contextualSpacing/>
    </w:pPr>
  </w:style>
  <w:style w:type="paragraph" w:styleId="FootnoteText">
    <w:name w:val="footnote text"/>
    <w:basedOn w:val="Normal"/>
    <w:link w:val="FootnoteTextChar"/>
    <w:uiPriority w:val="99"/>
    <w:semiHidden/>
    <w:unhideWhenUsed/>
    <w:rsid w:val="00AB1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8A6"/>
    <w:rPr>
      <w:sz w:val="20"/>
      <w:szCs w:val="20"/>
    </w:rPr>
  </w:style>
  <w:style w:type="character" w:styleId="FootnoteReference">
    <w:name w:val="footnote reference"/>
    <w:basedOn w:val="DefaultParagraphFont"/>
    <w:uiPriority w:val="99"/>
    <w:semiHidden/>
    <w:unhideWhenUsed/>
    <w:rsid w:val="00AB18A6"/>
    <w:rPr>
      <w:vertAlign w:val="superscript"/>
    </w:rPr>
  </w:style>
  <w:style w:type="character" w:customStyle="1" w:styleId="tagline">
    <w:name w:val="tagline"/>
    <w:basedOn w:val="DefaultParagraphFont"/>
    <w:rsid w:val="007F5EFE"/>
  </w:style>
  <w:style w:type="character" w:styleId="FollowedHyperlink">
    <w:name w:val="FollowedHyperlink"/>
    <w:basedOn w:val="DefaultParagraphFont"/>
    <w:uiPriority w:val="99"/>
    <w:semiHidden/>
    <w:unhideWhenUsed/>
    <w:rsid w:val="007F1F06"/>
    <w:rPr>
      <w:color w:val="954F72" w:themeColor="followedHyperlink"/>
      <w:u w:val="single"/>
    </w:rPr>
  </w:style>
  <w:style w:type="character" w:styleId="UnresolvedMention">
    <w:name w:val="Unresolved Mention"/>
    <w:basedOn w:val="DefaultParagraphFont"/>
    <w:uiPriority w:val="99"/>
    <w:semiHidden/>
    <w:unhideWhenUsed/>
    <w:rsid w:val="0052055A"/>
    <w:rPr>
      <w:color w:val="605E5C"/>
      <w:shd w:val="clear" w:color="auto" w:fill="E1DFDD"/>
    </w:rPr>
  </w:style>
  <w:style w:type="character" w:customStyle="1" w:styleId="Heading1Char">
    <w:name w:val="Heading 1 Char"/>
    <w:basedOn w:val="DefaultParagraphFont"/>
    <w:link w:val="Heading1"/>
    <w:uiPriority w:val="9"/>
    <w:rsid w:val="00AF04F2"/>
    <w:rPr>
      <w:rFonts w:ascii="Times New Roman" w:eastAsia="Times New Roman" w:hAnsi="Times New Roman" w:cs="Times New Roman"/>
      <w:b/>
      <w:bCs/>
      <w:kern w:val="36"/>
      <w:sz w:val="48"/>
      <w:szCs w:val="4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994">
      <w:bodyDiv w:val="1"/>
      <w:marLeft w:val="0"/>
      <w:marRight w:val="0"/>
      <w:marTop w:val="0"/>
      <w:marBottom w:val="0"/>
      <w:divBdr>
        <w:top w:val="none" w:sz="0" w:space="0" w:color="auto"/>
        <w:left w:val="none" w:sz="0" w:space="0" w:color="auto"/>
        <w:bottom w:val="none" w:sz="0" w:space="0" w:color="auto"/>
        <w:right w:val="none" w:sz="0" w:space="0" w:color="auto"/>
      </w:divBdr>
    </w:div>
    <w:div w:id="7937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amb.openjustice.be/fr/arrete-royal-du-01-fevrier-2018_n20180108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a.europa.eu/en/news/biosimilar-medicines-can-be-interchange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ejustice.just.fgov.be/cgi/article_body.pl?language=fr&amp;caller=summary&amp;pub_date=17-09-26&amp;numac=2017031231"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0A10-CF24-427F-87CE-E9F9A078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5818</Words>
  <Characters>31999</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Robert</dc:creator>
  <cp:keywords/>
  <dc:description/>
  <cp:lastModifiedBy>Ann Eeckhout (FAGG - AFMPS)</cp:lastModifiedBy>
  <cp:revision>61</cp:revision>
  <cp:lastPrinted>2017-07-28T07:45:00Z</cp:lastPrinted>
  <dcterms:created xsi:type="dcterms:W3CDTF">2023-07-25T09:31:00Z</dcterms:created>
  <dcterms:modified xsi:type="dcterms:W3CDTF">2023-09-29T10:20:00Z</dcterms:modified>
</cp:coreProperties>
</file>