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EDBAD" w14:textId="75E62F57" w:rsidR="001A2067" w:rsidRDefault="001A2067" w:rsidP="001A2067">
      <w:pPr>
        <w:pStyle w:val="Kop1"/>
        <w:spacing w:before="120" w:after="120"/>
        <w:jc w:val="both"/>
        <w:rPr>
          <w:rFonts w:ascii="Arial" w:hAnsi="Arial" w:cs="Arial"/>
          <w:b w:val="0"/>
          <w:bCs w:val="0"/>
          <w:color w:val="8496B0" w:themeColor="text2" w:themeTint="99"/>
          <w:sz w:val="20"/>
          <w:szCs w:val="20"/>
          <w:u w:val="single"/>
          <w:lang w:val="en-US"/>
        </w:rPr>
      </w:pPr>
      <w:bookmarkStart w:id="0" w:name="_Ref1397955"/>
      <w:r w:rsidRPr="00695C8A">
        <w:rPr>
          <w:rFonts w:ascii="Arial" w:hAnsi="Arial" w:cs="Arial"/>
          <w:b w:val="0"/>
          <w:bCs w:val="0"/>
          <w:color w:val="8496B0" w:themeColor="text2" w:themeTint="99"/>
          <w:sz w:val="20"/>
          <w:szCs w:val="20"/>
          <w:u w:val="single"/>
          <w:lang w:val="en-US"/>
        </w:rPr>
        <w:t>FAQ – Unmet Medical Need</w:t>
      </w:r>
      <w:bookmarkEnd w:id="0"/>
    </w:p>
    <w:tbl>
      <w:tblPr>
        <w:tblStyle w:val="Tabelraster"/>
        <w:tblW w:w="0" w:type="auto"/>
        <w:tblLayout w:type="fixed"/>
        <w:tblLook w:val="04A0" w:firstRow="1" w:lastRow="0" w:firstColumn="1" w:lastColumn="0" w:noHBand="0" w:noVBand="1"/>
      </w:tblPr>
      <w:tblGrid>
        <w:gridCol w:w="4531"/>
        <w:gridCol w:w="4531"/>
      </w:tblGrid>
      <w:tr w:rsidR="00154B0D" w14:paraId="53C8F9B2" w14:textId="77777777" w:rsidTr="00481B9A">
        <w:tc>
          <w:tcPr>
            <w:tcW w:w="4531" w:type="dxa"/>
          </w:tcPr>
          <w:p w14:paraId="42BA6FCF" w14:textId="77777777" w:rsidR="00154B0D" w:rsidRDefault="00154B0D" w:rsidP="00481B9A">
            <w:pPr>
              <w:rPr>
                <w:lang w:val="en-GB"/>
              </w:rPr>
            </w:pPr>
            <w:r>
              <w:rPr>
                <w:lang w:val="en-GB"/>
              </w:rPr>
              <w:t>Version</w:t>
            </w:r>
          </w:p>
        </w:tc>
        <w:tc>
          <w:tcPr>
            <w:tcW w:w="4531" w:type="dxa"/>
          </w:tcPr>
          <w:p w14:paraId="0560206F" w14:textId="77777777" w:rsidR="00154B0D" w:rsidRDefault="00154B0D" w:rsidP="00481B9A">
            <w:pPr>
              <w:rPr>
                <w:lang w:val="en-GB"/>
              </w:rPr>
            </w:pPr>
            <w:r>
              <w:rPr>
                <w:lang w:val="en-GB"/>
              </w:rPr>
              <w:t>Summary of changes</w:t>
            </w:r>
          </w:p>
        </w:tc>
      </w:tr>
      <w:tr w:rsidR="002A3542" w:rsidRPr="002A3542" w14:paraId="7A22F02B" w14:textId="77777777" w:rsidTr="00481B9A">
        <w:tc>
          <w:tcPr>
            <w:tcW w:w="4531" w:type="dxa"/>
          </w:tcPr>
          <w:p w14:paraId="7F6D6262" w14:textId="0BA7603A" w:rsidR="002A3542" w:rsidRDefault="002A3542" w:rsidP="00481B9A">
            <w:pPr>
              <w:rPr>
                <w:lang w:val="en-GB"/>
              </w:rPr>
            </w:pPr>
            <w:r>
              <w:rPr>
                <w:lang w:val="en-GB"/>
              </w:rPr>
              <w:t>Version 1.10 versus version 1.9</w:t>
            </w:r>
          </w:p>
        </w:tc>
        <w:tc>
          <w:tcPr>
            <w:tcW w:w="4531" w:type="dxa"/>
          </w:tcPr>
          <w:p w14:paraId="22643A72" w14:textId="7B1D9CB1" w:rsidR="002A3542" w:rsidRDefault="002A3542" w:rsidP="00481B9A">
            <w:pPr>
              <w:rPr>
                <w:lang w:val="en-US"/>
              </w:rPr>
            </w:pPr>
            <w:r>
              <w:rPr>
                <w:lang w:val="en-US"/>
              </w:rPr>
              <w:t>Change wording question 20: The responsible physician must not be based in Belgium =&gt; The responsible physician can be based outside Belgium</w:t>
            </w:r>
          </w:p>
        </w:tc>
      </w:tr>
      <w:tr w:rsidR="00173C67" w:rsidRPr="002A3542" w14:paraId="095973B3" w14:textId="77777777" w:rsidTr="00481B9A">
        <w:tc>
          <w:tcPr>
            <w:tcW w:w="4531" w:type="dxa"/>
          </w:tcPr>
          <w:p w14:paraId="530A5D57" w14:textId="215C56D8" w:rsidR="00173C67" w:rsidRDefault="00173C67" w:rsidP="00481B9A">
            <w:pPr>
              <w:rPr>
                <w:lang w:val="en-GB"/>
              </w:rPr>
            </w:pPr>
            <w:r>
              <w:rPr>
                <w:lang w:val="en-GB"/>
              </w:rPr>
              <w:t>Version 1.9 versus Version 1.8</w:t>
            </w:r>
          </w:p>
        </w:tc>
        <w:tc>
          <w:tcPr>
            <w:tcW w:w="4531" w:type="dxa"/>
          </w:tcPr>
          <w:p w14:paraId="4FABB55C" w14:textId="1CC9A027" w:rsidR="00173C67" w:rsidRDefault="00867686" w:rsidP="00481B9A">
            <w:pPr>
              <w:rPr>
                <w:lang w:val="en-US"/>
              </w:rPr>
            </w:pPr>
            <w:r>
              <w:rPr>
                <w:lang w:val="en-US"/>
              </w:rPr>
              <w:t>Addition of modality of responsible physician in question 20</w:t>
            </w:r>
          </w:p>
        </w:tc>
      </w:tr>
      <w:tr w:rsidR="00154B0D" w:rsidRPr="002A3542" w14:paraId="58997B26" w14:textId="77777777" w:rsidTr="00481B9A">
        <w:tc>
          <w:tcPr>
            <w:tcW w:w="4531" w:type="dxa"/>
          </w:tcPr>
          <w:p w14:paraId="6020046B" w14:textId="1F8ABF25" w:rsidR="00154B0D" w:rsidRDefault="00154B0D" w:rsidP="00481B9A">
            <w:pPr>
              <w:rPr>
                <w:lang w:val="en-GB"/>
              </w:rPr>
            </w:pPr>
            <w:r>
              <w:rPr>
                <w:lang w:val="en-GB"/>
              </w:rPr>
              <w:t>Version 1.</w:t>
            </w:r>
            <w:r w:rsidR="00D14C20">
              <w:rPr>
                <w:lang w:val="en-GB"/>
              </w:rPr>
              <w:t>8</w:t>
            </w:r>
            <w:r>
              <w:rPr>
                <w:lang w:val="en-GB"/>
              </w:rPr>
              <w:t xml:space="preserve"> versus Version 1.</w:t>
            </w:r>
            <w:r w:rsidR="00D14C20">
              <w:rPr>
                <w:lang w:val="en-GB"/>
              </w:rPr>
              <w:t>7</w:t>
            </w:r>
          </w:p>
        </w:tc>
        <w:tc>
          <w:tcPr>
            <w:tcW w:w="4531" w:type="dxa"/>
          </w:tcPr>
          <w:p w14:paraId="614E54B1" w14:textId="2E471C25" w:rsidR="00D14C20" w:rsidRDefault="00D14C20" w:rsidP="00481B9A">
            <w:pPr>
              <w:rPr>
                <w:lang w:val="en-US"/>
              </w:rPr>
            </w:pPr>
            <w:r>
              <w:rPr>
                <w:lang w:val="en-US"/>
              </w:rPr>
              <w:t>addition of question 11</w:t>
            </w:r>
          </w:p>
          <w:p w14:paraId="45715694" w14:textId="55FCE0F1" w:rsidR="00154B0D" w:rsidRDefault="007140D3" w:rsidP="00481B9A">
            <w:pPr>
              <w:rPr>
                <w:lang w:val="en-US"/>
              </w:rPr>
            </w:pPr>
            <w:r>
              <w:rPr>
                <w:lang w:val="en-US"/>
              </w:rPr>
              <w:t>update question 2</w:t>
            </w:r>
            <w:r w:rsidR="00D14C20">
              <w:rPr>
                <w:lang w:val="en-US"/>
              </w:rPr>
              <w:t>2</w:t>
            </w:r>
            <w:r>
              <w:rPr>
                <w:lang w:val="en-US"/>
              </w:rPr>
              <w:t xml:space="preserve"> and 2</w:t>
            </w:r>
            <w:r w:rsidR="00D14C20">
              <w:rPr>
                <w:lang w:val="en-US"/>
              </w:rPr>
              <w:t>3</w:t>
            </w:r>
            <w:r>
              <w:rPr>
                <w:lang w:val="en-US"/>
              </w:rPr>
              <w:t xml:space="preserve"> </w:t>
            </w:r>
          </w:p>
          <w:p w14:paraId="47566625" w14:textId="701DE1EE" w:rsidR="00D14C20" w:rsidRDefault="00D14C20" w:rsidP="00481B9A">
            <w:pPr>
              <w:rPr>
                <w:lang w:val="en-GB"/>
              </w:rPr>
            </w:pPr>
          </w:p>
        </w:tc>
      </w:tr>
    </w:tbl>
    <w:p w14:paraId="50C68072" w14:textId="7C6B2BC0" w:rsidR="001A2067" w:rsidRDefault="001A2067" w:rsidP="00587079">
      <w:pPr>
        <w:pStyle w:val="Kop1"/>
        <w:numPr>
          <w:ilvl w:val="0"/>
          <w:numId w:val="2"/>
        </w:numPr>
        <w:spacing w:before="360" w:after="240"/>
        <w:ind w:left="567" w:hanging="425"/>
        <w:jc w:val="both"/>
        <w:rPr>
          <w:rStyle w:val="Zwaar"/>
          <w:rFonts w:ascii="Arial" w:hAnsi="Arial" w:cs="Arial"/>
          <w:b/>
          <w:color w:val="auto"/>
          <w:sz w:val="24"/>
          <w:szCs w:val="24"/>
          <w:u w:val="single"/>
          <w:lang w:val="en-US"/>
        </w:rPr>
      </w:pPr>
      <w:bookmarkStart w:id="1" w:name="_Ref1398099"/>
      <w:r w:rsidRPr="003579D2">
        <w:rPr>
          <w:rStyle w:val="Zwaar"/>
          <w:rFonts w:ascii="Arial" w:hAnsi="Arial" w:cs="Arial"/>
          <w:b/>
          <w:color w:val="auto"/>
          <w:sz w:val="24"/>
          <w:szCs w:val="24"/>
          <w:u w:val="single"/>
          <w:lang w:val="en-US"/>
        </w:rPr>
        <w:t>General</w:t>
      </w:r>
      <w:bookmarkEnd w:id="1"/>
    </w:p>
    <w:p w14:paraId="629C15E8" w14:textId="77777777" w:rsidR="001A2067" w:rsidRPr="00360D3C" w:rsidRDefault="001A2067" w:rsidP="001A2067">
      <w:pPr>
        <w:pStyle w:val="Lijstalinea"/>
        <w:numPr>
          <w:ilvl w:val="0"/>
          <w:numId w:val="1"/>
        </w:numPr>
        <w:spacing w:before="120" w:after="120"/>
        <w:ind w:left="714" w:hanging="357"/>
        <w:jc w:val="both"/>
        <w:rPr>
          <w:rFonts w:ascii="Arial" w:hAnsi="Arial" w:cs="Arial"/>
          <w:b/>
          <w:sz w:val="20"/>
          <w:szCs w:val="20"/>
          <w:lang w:val="en-US"/>
        </w:rPr>
      </w:pPr>
      <w:bookmarkStart w:id="2" w:name="_Ref1398050"/>
      <w:r w:rsidRPr="00360D3C">
        <w:rPr>
          <w:rFonts w:ascii="Arial" w:hAnsi="Arial" w:cs="Arial"/>
          <w:b/>
          <w:sz w:val="20"/>
          <w:szCs w:val="20"/>
          <w:lang w:val="en-US"/>
        </w:rPr>
        <w:t>When is a product considered as “commercially available”?</w:t>
      </w:r>
      <w:bookmarkEnd w:id="2"/>
    </w:p>
    <w:p w14:paraId="19013E39" w14:textId="3944D47E" w:rsidR="001A2067" w:rsidRPr="003E1372" w:rsidRDefault="001A2067" w:rsidP="001A2067">
      <w:pPr>
        <w:spacing w:after="240"/>
        <w:ind w:left="708"/>
        <w:jc w:val="both"/>
        <w:rPr>
          <w:rFonts w:ascii="Arial" w:hAnsi="Arial" w:cs="Arial"/>
          <w:sz w:val="20"/>
          <w:szCs w:val="20"/>
          <w:lang w:val="en-US"/>
        </w:rPr>
      </w:pPr>
      <w:r w:rsidRPr="00360D3C">
        <w:rPr>
          <w:rFonts w:ascii="Arial" w:hAnsi="Arial" w:cs="Arial"/>
          <w:sz w:val="20"/>
          <w:szCs w:val="20"/>
          <w:lang w:val="en-US"/>
        </w:rPr>
        <w:t>Commercially available means that the product is available on the</w:t>
      </w:r>
      <w:r w:rsidR="0003400F">
        <w:rPr>
          <w:rFonts w:ascii="Arial" w:hAnsi="Arial" w:cs="Arial"/>
          <w:sz w:val="20"/>
          <w:szCs w:val="20"/>
          <w:lang w:val="en-US"/>
        </w:rPr>
        <w:t xml:space="preserve"> Belgian</w:t>
      </w:r>
      <w:r w:rsidRPr="00360D3C">
        <w:rPr>
          <w:rFonts w:ascii="Arial" w:hAnsi="Arial" w:cs="Arial"/>
          <w:sz w:val="20"/>
          <w:szCs w:val="20"/>
          <w:lang w:val="en-US"/>
        </w:rPr>
        <w:t xml:space="preserve"> market </w:t>
      </w:r>
      <w:r w:rsidRPr="003E1372">
        <w:rPr>
          <w:rFonts w:ascii="Arial" w:hAnsi="Arial" w:cs="Arial"/>
          <w:sz w:val="20"/>
          <w:szCs w:val="20"/>
          <w:lang w:val="en-US"/>
        </w:rPr>
        <w:t xml:space="preserve">(independently of its reimbursement status). </w:t>
      </w:r>
    </w:p>
    <w:p w14:paraId="01CB4A9F" w14:textId="0CB35080" w:rsidR="001E14A5" w:rsidRDefault="001E14A5" w:rsidP="001E14A5">
      <w:pPr>
        <w:pStyle w:val="Lijstalinea"/>
        <w:numPr>
          <w:ilvl w:val="0"/>
          <w:numId w:val="1"/>
        </w:numPr>
        <w:spacing w:before="120" w:after="120"/>
        <w:jc w:val="both"/>
        <w:rPr>
          <w:rFonts w:ascii="Arial" w:hAnsi="Arial" w:cs="Arial"/>
          <w:b/>
          <w:bCs/>
          <w:sz w:val="20"/>
          <w:szCs w:val="20"/>
          <w:lang w:val="en-US"/>
        </w:rPr>
      </w:pPr>
      <w:bookmarkStart w:id="3" w:name="_Ref1466308"/>
      <w:r>
        <w:rPr>
          <w:rFonts w:ascii="Arial" w:hAnsi="Arial" w:cs="Arial"/>
          <w:b/>
          <w:bCs/>
          <w:sz w:val="20"/>
          <w:szCs w:val="20"/>
          <w:lang w:val="en-US"/>
        </w:rPr>
        <w:t xml:space="preserve">Can a product that is commercially available be provided in the frame of a </w:t>
      </w:r>
      <w:r w:rsidR="000B1574">
        <w:rPr>
          <w:rFonts w:ascii="Arial" w:hAnsi="Arial" w:cs="Arial"/>
          <w:b/>
          <w:bCs/>
          <w:sz w:val="20"/>
          <w:szCs w:val="20"/>
          <w:lang w:val="en-US"/>
        </w:rPr>
        <w:t>M</w:t>
      </w:r>
      <w:r>
        <w:rPr>
          <w:rFonts w:ascii="Arial" w:hAnsi="Arial" w:cs="Arial"/>
          <w:b/>
          <w:bCs/>
          <w:sz w:val="20"/>
          <w:szCs w:val="20"/>
          <w:lang w:val="en-US"/>
        </w:rPr>
        <w:t xml:space="preserve">edical </w:t>
      </w:r>
      <w:r w:rsidR="000B1574">
        <w:rPr>
          <w:rFonts w:ascii="Arial" w:hAnsi="Arial" w:cs="Arial"/>
          <w:b/>
          <w:bCs/>
          <w:sz w:val="20"/>
          <w:szCs w:val="20"/>
          <w:lang w:val="en-US"/>
        </w:rPr>
        <w:t>N</w:t>
      </w:r>
      <w:r>
        <w:rPr>
          <w:rFonts w:ascii="Arial" w:hAnsi="Arial" w:cs="Arial"/>
          <w:b/>
          <w:bCs/>
          <w:sz w:val="20"/>
          <w:szCs w:val="20"/>
          <w:lang w:val="en-US"/>
        </w:rPr>
        <w:t xml:space="preserve">eed </w:t>
      </w:r>
      <w:r w:rsidR="000B1574">
        <w:rPr>
          <w:rFonts w:ascii="Arial" w:hAnsi="Arial" w:cs="Arial"/>
          <w:b/>
          <w:bCs/>
          <w:sz w:val="20"/>
          <w:szCs w:val="20"/>
          <w:lang w:val="en-US"/>
        </w:rPr>
        <w:t>P</w:t>
      </w:r>
      <w:r>
        <w:rPr>
          <w:rFonts w:ascii="Arial" w:hAnsi="Arial" w:cs="Arial"/>
          <w:b/>
          <w:bCs/>
          <w:sz w:val="20"/>
          <w:szCs w:val="20"/>
          <w:lang w:val="en-US"/>
        </w:rPr>
        <w:t xml:space="preserve">rogram </w:t>
      </w:r>
      <w:r w:rsidR="000B1574">
        <w:rPr>
          <w:rFonts w:ascii="Arial" w:hAnsi="Arial" w:cs="Arial"/>
          <w:b/>
          <w:bCs/>
          <w:sz w:val="20"/>
          <w:szCs w:val="20"/>
          <w:lang w:val="en-US"/>
        </w:rPr>
        <w:t xml:space="preserve">(MNP) </w:t>
      </w:r>
      <w:r>
        <w:rPr>
          <w:rFonts w:ascii="Arial" w:hAnsi="Arial" w:cs="Arial"/>
          <w:b/>
          <w:bCs/>
          <w:sz w:val="20"/>
          <w:szCs w:val="20"/>
          <w:lang w:val="en-US"/>
        </w:rPr>
        <w:t>for the authorized indication?</w:t>
      </w:r>
    </w:p>
    <w:p w14:paraId="6EFA778C" w14:textId="1BEC09F8" w:rsidR="001E14A5" w:rsidRPr="008A1322" w:rsidRDefault="001E14A5" w:rsidP="00CC1F4F">
      <w:pPr>
        <w:spacing w:after="240"/>
        <w:ind w:left="708"/>
        <w:jc w:val="both"/>
        <w:rPr>
          <w:rFonts w:ascii="Arial" w:hAnsi="Arial" w:cs="Arial"/>
          <w:sz w:val="20"/>
          <w:szCs w:val="20"/>
          <w:lang w:val="en-US"/>
        </w:rPr>
      </w:pPr>
      <w:r w:rsidRPr="00CC1F4F">
        <w:rPr>
          <w:rFonts w:ascii="Arial" w:hAnsi="Arial" w:cs="Arial"/>
          <w:sz w:val="20"/>
          <w:szCs w:val="20"/>
          <w:lang w:val="en-US"/>
        </w:rPr>
        <w:t>General: Once a product is commercially available for a given indication, the product cannot be provided any longer in the frame of a</w:t>
      </w:r>
      <w:r w:rsidR="000B1574">
        <w:rPr>
          <w:rFonts w:ascii="Arial" w:hAnsi="Arial" w:cs="Arial"/>
          <w:sz w:val="20"/>
          <w:szCs w:val="20"/>
          <w:lang w:val="en-US"/>
        </w:rPr>
        <w:t xml:space="preserve"> MNP</w:t>
      </w:r>
      <w:r w:rsidR="001E450C">
        <w:rPr>
          <w:rFonts w:ascii="Arial" w:hAnsi="Arial" w:cs="Arial"/>
          <w:sz w:val="20"/>
          <w:szCs w:val="20"/>
          <w:lang w:val="en-US"/>
        </w:rPr>
        <w:t xml:space="preserve"> </w:t>
      </w:r>
      <w:r w:rsidRPr="00CC1F4F">
        <w:rPr>
          <w:rFonts w:ascii="Arial" w:hAnsi="Arial" w:cs="Arial"/>
          <w:sz w:val="20"/>
          <w:szCs w:val="20"/>
          <w:lang w:val="en-US"/>
        </w:rPr>
        <w:t xml:space="preserve">for the same indication, even if reimbursement criteria are not fixed yet. There is one derogation: if a product that was already on the market for indication X, has been authorized for indication Y </w:t>
      </w:r>
      <w:r w:rsidRPr="00B32C77">
        <w:rPr>
          <w:rFonts w:ascii="Arial" w:hAnsi="Arial" w:cs="Arial"/>
          <w:sz w:val="20"/>
          <w:szCs w:val="20"/>
          <w:u w:val="single"/>
          <w:lang w:val="en-US"/>
        </w:rPr>
        <w:t xml:space="preserve">and </w:t>
      </w:r>
      <w:r w:rsidRPr="00CC1F4F">
        <w:rPr>
          <w:rFonts w:ascii="Arial" w:hAnsi="Arial" w:cs="Arial"/>
          <w:sz w:val="20"/>
          <w:szCs w:val="20"/>
          <w:lang w:val="en-US"/>
        </w:rPr>
        <w:t xml:space="preserve">reimbursement procedure is ongoing for indication Y, an MNP can be requested for indication Y. The MNP can run in indication Y until </w:t>
      </w:r>
      <w:r w:rsidRPr="008A1322">
        <w:rPr>
          <w:rFonts w:ascii="Arial" w:hAnsi="Arial" w:cs="Arial"/>
          <w:sz w:val="20"/>
          <w:szCs w:val="20"/>
          <w:lang w:val="en-US"/>
        </w:rPr>
        <w:t>the reimbursement procedure has ended for indication Y, regardless of its outcome</w:t>
      </w:r>
      <w:r w:rsidR="003461B7" w:rsidRPr="008A1322">
        <w:rPr>
          <w:rFonts w:ascii="Arial" w:hAnsi="Arial" w:cs="Arial"/>
          <w:sz w:val="20"/>
          <w:szCs w:val="20"/>
          <w:lang w:val="en-US"/>
        </w:rPr>
        <w:t>.</w:t>
      </w:r>
    </w:p>
    <w:p w14:paraId="5405E23F" w14:textId="32419F8A" w:rsidR="0024239C" w:rsidRPr="008A1322" w:rsidRDefault="0024239C" w:rsidP="007D0E69">
      <w:pPr>
        <w:pStyle w:val="Lijstalinea"/>
        <w:numPr>
          <w:ilvl w:val="0"/>
          <w:numId w:val="1"/>
        </w:numPr>
        <w:spacing w:after="120"/>
        <w:ind w:left="714" w:hanging="357"/>
        <w:jc w:val="both"/>
        <w:rPr>
          <w:rFonts w:ascii="Arial" w:hAnsi="Arial" w:cs="Arial"/>
          <w:b/>
          <w:sz w:val="20"/>
          <w:szCs w:val="20"/>
          <w:lang w:val="en-GB"/>
        </w:rPr>
      </w:pPr>
      <w:r w:rsidRPr="008A1322">
        <w:rPr>
          <w:rFonts w:ascii="Arial" w:hAnsi="Arial" w:cs="Arial"/>
          <w:b/>
          <w:sz w:val="20"/>
          <w:szCs w:val="20"/>
          <w:lang w:val="en-GB"/>
        </w:rPr>
        <w:t>Can a MNP be set-up for a registered product in the authorized indication but with a different dosing regimen?</w:t>
      </w:r>
    </w:p>
    <w:p w14:paraId="00C57C7B" w14:textId="5EF85F20" w:rsidR="0024239C" w:rsidRPr="007D0E69" w:rsidRDefault="0024239C" w:rsidP="007D0E69">
      <w:pPr>
        <w:pStyle w:val="Lijstalinea"/>
        <w:spacing w:after="240"/>
        <w:jc w:val="both"/>
        <w:rPr>
          <w:rFonts w:ascii="Arial" w:hAnsi="Arial" w:cs="Arial"/>
          <w:sz w:val="20"/>
          <w:szCs w:val="20"/>
          <w:lang w:val="en-US"/>
        </w:rPr>
      </w:pPr>
      <w:r w:rsidRPr="007D0E69">
        <w:rPr>
          <w:rFonts w:ascii="Arial" w:hAnsi="Arial" w:cs="Arial"/>
          <w:sz w:val="20"/>
          <w:szCs w:val="20"/>
          <w:lang w:val="en-US"/>
        </w:rPr>
        <w:t xml:space="preserve">No, the </w:t>
      </w:r>
      <w:r w:rsidR="00BE2E78">
        <w:rPr>
          <w:rFonts w:ascii="Arial" w:hAnsi="Arial" w:cs="Arial"/>
          <w:sz w:val="20"/>
          <w:szCs w:val="20"/>
          <w:lang w:val="en-US"/>
        </w:rPr>
        <w:t>modification</w:t>
      </w:r>
      <w:r w:rsidRPr="007D0E69">
        <w:rPr>
          <w:rFonts w:ascii="Arial" w:hAnsi="Arial" w:cs="Arial"/>
          <w:sz w:val="20"/>
          <w:szCs w:val="20"/>
          <w:lang w:val="en-US"/>
        </w:rPr>
        <w:t xml:space="preserve"> in </w:t>
      </w:r>
      <w:r w:rsidR="00BE2E78">
        <w:rPr>
          <w:rFonts w:ascii="Arial" w:hAnsi="Arial" w:cs="Arial"/>
          <w:sz w:val="20"/>
          <w:szCs w:val="20"/>
          <w:lang w:val="en-US"/>
        </w:rPr>
        <w:t>dosing regimen</w:t>
      </w:r>
      <w:r w:rsidRPr="007D0E69">
        <w:rPr>
          <w:rFonts w:ascii="Arial" w:hAnsi="Arial" w:cs="Arial"/>
          <w:sz w:val="20"/>
          <w:szCs w:val="20"/>
          <w:lang w:val="en-US"/>
        </w:rPr>
        <w:t xml:space="preserve"> cannot be regarded as a 'new' not yet authorized indication of an already authorized medicine that may qualify for an application to start up an MNP, as referred to in Article 6quater, § 1, 3 ° ) of the Medicines Law. </w:t>
      </w:r>
    </w:p>
    <w:p w14:paraId="4B48D0DF" w14:textId="7C9F3CB9" w:rsidR="001A2067" w:rsidRPr="00BF2158" w:rsidRDefault="001A2067" w:rsidP="001A2067">
      <w:pPr>
        <w:pStyle w:val="Lijstalinea"/>
        <w:numPr>
          <w:ilvl w:val="0"/>
          <w:numId w:val="1"/>
        </w:numPr>
        <w:spacing w:after="120"/>
        <w:ind w:left="714" w:hanging="357"/>
        <w:rPr>
          <w:rFonts w:ascii="Arial" w:hAnsi="Arial" w:cs="Arial"/>
          <w:b/>
          <w:sz w:val="20"/>
          <w:szCs w:val="20"/>
          <w:lang w:val="en-US"/>
        </w:rPr>
      </w:pPr>
      <w:bookmarkStart w:id="4" w:name="_Ref1398053"/>
      <w:bookmarkEnd w:id="3"/>
      <w:r w:rsidRPr="00BF2158">
        <w:rPr>
          <w:rFonts w:ascii="Arial" w:hAnsi="Arial" w:cs="Arial"/>
          <w:b/>
          <w:sz w:val="20"/>
          <w:szCs w:val="20"/>
          <w:lang w:val="en-US"/>
        </w:rPr>
        <w:t xml:space="preserve">Could we apply for a </w:t>
      </w:r>
      <w:r w:rsidR="000B1574">
        <w:rPr>
          <w:rFonts w:ascii="Arial" w:hAnsi="Arial" w:cs="Arial"/>
          <w:b/>
          <w:sz w:val="20"/>
          <w:szCs w:val="20"/>
          <w:lang w:val="en-US"/>
        </w:rPr>
        <w:t>Compassionate Use Program (</w:t>
      </w:r>
      <w:r w:rsidR="002B60EF">
        <w:rPr>
          <w:rFonts w:ascii="Arial" w:hAnsi="Arial" w:cs="Arial"/>
          <w:b/>
          <w:sz w:val="20"/>
          <w:szCs w:val="20"/>
          <w:lang w:val="en-US"/>
        </w:rPr>
        <w:t>CUP</w:t>
      </w:r>
      <w:r w:rsidR="000B1574">
        <w:rPr>
          <w:rFonts w:ascii="Arial" w:hAnsi="Arial" w:cs="Arial"/>
          <w:b/>
          <w:sz w:val="20"/>
          <w:szCs w:val="20"/>
          <w:lang w:val="en-US"/>
        </w:rPr>
        <w:t>) or Medical Need Program (</w:t>
      </w:r>
      <w:r w:rsidR="002B60EF">
        <w:rPr>
          <w:rFonts w:ascii="Arial" w:hAnsi="Arial" w:cs="Arial"/>
          <w:b/>
          <w:sz w:val="20"/>
          <w:szCs w:val="20"/>
          <w:lang w:val="en-US"/>
        </w:rPr>
        <w:t>MNP</w:t>
      </w:r>
      <w:r w:rsidR="000B1574">
        <w:rPr>
          <w:rFonts w:ascii="Arial" w:hAnsi="Arial" w:cs="Arial"/>
          <w:b/>
          <w:sz w:val="20"/>
          <w:szCs w:val="20"/>
          <w:lang w:val="en-US"/>
        </w:rPr>
        <w:t>)</w:t>
      </w:r>
      <w:r w:rsidR="002B60EF" w:rsidRPr="00BF2158">
        <w:rPr>
          <w:rFonts w:ascii="Arial" w:hAnsi="Arial" w:cs="Arial"/>
          <w:b/>
          <w:sz w:val="20"/>
          <w:szCs w:val="20"/>
          <w:lang w:val="en-US"/>
        </w:rPr>
        <w:t xml:space="preserve"> </w:t>
      </w:r>
      <w:r w:rsidRPr="00BF2158">
        <w:rPr>
          <w:rFonts w:ascii="Arial" w:hAnsi="Arial" w:cs="Arial"/>
          <w:b/>
          <w:sz w:val="20"/>
          <w:szCs w:val="20"/>
          <w:lang w:val="en-US"/>
        </w:rPr>
        <w:t xml:space="preserve">in place of an </w:t>
      </w:r>
      <w:r>
        <w:rPr>
          <w:rFonts w:ascii="Arial" w:hAnsi="Arial" w:cs="Arial"/>
          <w:b/>
          <w:sz w:val="20"/>
          <w:szCs w:val="20"/>
          <w:lang w:val="en-US"/>
        </w:rPr>
        <w:t>extension trial/</w:t>
      </w:r>
      <w:r w:rsidRPr="00BF2158">
        <w:rPr>
          <w:rFonts w:ascii="Arial" w:hAnsi="Arial" w:cs="Arial"/>
          <w:b/>
          <w:sz w:val="20"/>
          <w:szCs w:val="20"/>
          <w:lang w:val="en-US"/>
        </w:rPr>
        <w:t>open label study</w:t>
      </w:r>
      <w:r w:rsidR="00CC0F37">
        <w:rPr>
          <w:rFonts w:ascii="Arial" w:hAnsi="Arial" w:cs="Arial"/>
          <w:b/>
          <w:sz w:val="20"/>
          <w:szCs w:val="20"/>
          <w:lang w:val="en-US"/>
        </w:rPr>
        <w:t>?</w:t>
      </w:r>
      <w:bookmarkEnd w:id="4"/>
    </w:p>
    <w:p w14:paraId="4E0C2D7E" w14:textId="2DE881AD" w:rsidR="007532B7" w:rsidRDefault="001A2067" w:rsidP="008E2D5F">
      <w:pPr>
        <w:pStyle w:val="Lijstalinea"/>
        <w:spacing w:after="240"/>
        <w:jc w:val="both"/>
        <w:rPr>
          <w:rFonts w:ascii="Arial" w:hAnsi="Arial" w:cs="Arial"/>
          <w:sz w:val="20"/>
          <w:szCs w:val="20"/>
          <w:lang w:val="en-US"/>
        </w:rPr>
      </w:pPr>
      <w:r w:rsidRPr="00BF2158">
        <w:rPr>
          <w:rFonts w:ascii="Arial" w:hAnsi="Arial" w:cs="Arial"/>
          <w:sz w:val="20"/>
          <w:szCs w:val="20"/>
          <w:lang w:val="en-US"/>
        </w:rPr>
        <w:t xml:space="preserve">The main goal of a </w:t>
      </w:r>
      <w:r w:rsidR="002B60EF">
        <w:rPr>
          <w:rFonts w:ascii="Arial" w:hAnsi="Arial" w:cs="Arial"/>
          <w:sz w:val="20"/>
          <w:szCs w:val="20"/>
          <w:lang w:val="en-US"/>
        </w:rPr>
        <w:t>CUP</w:t>
      </w:r>
      <w:r w:rsidR="000B1574">
        <w:rPr>
          <w:rFonts w:ascii="Arial" w:hAnsi="Arial" w:cs="Arial"/>
          <w:sz w:val="20"/>
          <w:szCs w:val="20"/>
          <w:lang w:val="en-US"/>
        </w:rPr>
        <w:t xml:space="preserve"> or </w:t>
      </w:r>
      <w:r w:rsidR="002B60EF">
        <w:rPr>
          <w:rFonts w:ascii="Arial" w:hAnsi="Arial" w:cs="Arial"/>
          <w:sz w:val="20"/>
          <w:szCs w:val="20"/>
          <w:lang w:val="en-US"/>
        </w:rPr>
        <w:t>MNP</w:t>
      </w:r>
      <w:r w:rsidR="002B60EF" w:rsidRPr="00BF2158">
        <w:rPr>
          <w:rFonts w:ascii="Arial" w:hAnsi="Arial" w:cs="Arial"/>
          <w:sz w:val="20"/>
          <w:szCs w:val="20"/>
          <w:lang w:val="en-US"/>
        </w:rPr>
        <w:t xml:space="preserve"> </w:t>
      </w:r>
      <w:r w:rsidRPr="00BF2158">
        <w:rPr>
          <w:rFonts w:ascii="Arial" w:hAnsi="Arial" w:cs="Arial"/>
          <w:sz w:val="20"/>
          <w:szCs w:val="20"/>
          <w:lang w:val="en-US"/>
        </w:rPr>
        <w:t>is to provide an early access to a new innovative medicinal product which addresses an unmet medical need or a major therapeutic advantage. </w:t>
      </w:r>
      <w:r w:rsidR="007532B7" w:rsidRPr="007D0E69">
        <w:rPr>
          <w:rFonts w:ascii="Arial" w:hAnsi="Arial" w:cs="Arial"/>
          <w:sz w:val="20"/>
          <w:szCs w:val="20"/>
          <w:lang w:val="en-US"/>
        </w:rPr>
        <w:t xml:space="preserve">From a methodological point of view, clinical trials are practically the only means of obtaining reliable and interpretable efficacy and safety data for a medicinal product. Although safety data may be collected during </w:t>
      </w:r>
      <w:r w:rsidR="002B60EF">
        <w:rPr>
          <w:rFonts w:ascii="Arial" w:hAnsi="Arial" w:cs="Arial"/>
          <w:sz w:val="20"/>
          <w:szCs w:val="20"/>
          <w:lang w:val="en-US"/>
        </w:rPr>
        <w:t>C</w:t>
      </w:r>
      <w:r w:rsidR="00920E85">
        <w:rPr>
          <w:rFonts w:ascii="Arial" w:hAnsi="Arial" w:cs="Arial"/>
          <w:sz w:val="20"/>
          <w:szCs w:val="20"/>
          <w:lang w:val="en-US"/>
        </w:rPr>
        <w:t xml:space="preserve">UPs or </w:t>
      </w:r>
      <w:r w:rsidR="002B60EF">
        <w:rPr>
          <w:rFonts w:ascii="Arial" w:hAnsi="Arial" w:cs="Arial"/>
          <w:sz w:val="20"/>
          <w:szCs w:val="20"/>
          <w:lang w:val="en-US"/>
        </w:rPr>
        <w:t>MNPs</w:t>
      </w:r>
      <w:r w:rsidR="007532B7" w:rsidRPr="007D0E69">
        <w:rPr>
          <w:rFonts w:ascii="Arial" w:hAnsi="Arial" w:cs="Arial"/>
          <w:sz w:val="20"/>
          <w:szCs w:val="20"/>
          <w:lang w:val="en-US"/>
        </w:rPr>
        <w:t xml:space="preserve">, such programs cannot replace clinical trials for investigational purposes. </w:t>
      </w:r>
      <w:r w:rsidR="002B60EF">
        <w:rPr>
          <w:rFonts w:ascii="Arial" w:hAnsi="Arial" w:cs="Arial"/>
          <w:sz w:val="20"/>
          <w:szCs w:val="20"/>
          <w:lang w:val="en-US"/>
        </w:rPr>
        <w:t>C</w:t>
      </w:r>
      <w:r w:rsidR="00920E85">
        <w:rPr>
          <w:rFonts w:ascii="Arial" w:hAnsi="Arial" w:cs="Arial"/>
          <w:sz w:val="20"/>
          <w:szCs w:val="20"/>
          <w:lang w:val="en-US"/>
        </w:rPr>
        <w:t>UP</w:t>
      </w:r>
      <w:r w:rsidR="003C40BC">
        <w:rPr>
          <w:rFonts w:ascii="Arial" w:hAnsi="Arial" w:cs="Arial"/>
          <w:sz w:val="20"/>
          <w:szCs w:val="20"/>
          <w:lang w:val="en-US"/>
        </w:rPr>
        <w:t>s</w:t>
      </w:r>
      <w:r w:rsidR="00920E85">
        <w:rPr>
          <w:rFonts w:ascii="Arial" w:hAnsi="Arial" w:cs="Arial"/>
          <w:sz w:val="20"/>
          <w:szCs w:val="20"/>
          <w:lang w:val="en-US"/>
        </w:rPr>
        <w:t xml:space="preserve"> and </w:t>
      </w:r>
      <w:r w:rsidR="002B60EF">
        <w:rPr>
          <w:rFonts w:ascii="Arial" w:hAnsi="Arial" w:cs="Arial"/>
          <w:sz w:val="20"/>
          <w:szCs w:val="20"/>
          <w:lang w:val="en-US"/>
        </w:rPr>
        <w:t xml:space="preserve">MNPs </w:t>
      </w:r>
      <w:r w:rsidR="00980F89">
        <w:rPr>
          <w:rFonts w:ascii="Arial" w:hAnsi="Arial" w:cs="Arial"/>
          <w:sz w:val="20"/>
          <w:szCs w:val="20"/>
          <w:lang w:val="en-US"/>
        </w:rPr>
        <w:t xml:space="preserve">are </w:t>
      </w:r>
      <w:r w:rsidR="007532B7" w:rsidRPr="007D0E69">
        <w:rPr>
          <w:rFonts w:ascii="Arial" w:hAnsi="Arial" w:cs="Arial"/>
          <w:sz w:val="20"/>
          <w:szCs w:val="20"/>
          <w:lang w:val="en-US"/>
        </w:rPr>
        <w:t xml:space="preserve"> not a substitute for properly conducted trials</w:t>
      </w:r>
      <w:r w:rsidR="00980F89">
        <w:rPr>
          <w:rFonts w:ascii="Arial" w:hAnsi="Arial" w:cs="Arial"/>
          <w:sz w:val="20"/>
          <w:szCs w:val="20"/>
          <w:lang w:val="en-US"/>
        </w:rPr>
        <w:t xml:space="preserve"> and</w:t>
      </w:r>
      <w:r w:rsidR="007532B7" w:rsidRPr="007D0E69">
        <w:rPr>
          <w:rFonts w:ascii="Arial" w:hAnsi="Arial" w:cs="Arial"/>
          <w:sz w:val="20"/>
          <w:szCs w:val="20"/>
          <w:lang w:val="en-US"/>
        </w:rPr>
        <w:t xml:space="preserve"> should therefore not slow down the implementation or continuation of clinical trials intended to provide essential information relative to the benefit/risk balance of a medicinal product. Patients should always be considered for inclusion in clinical trials before being offered </w:t>
      </w:r>
      <w:r w:rsidR="00920E85">
        <w:rPr>
          <w:rFonts w:ascii="Arial" w:hAnsi="Arial" w:cs="Arial"/>
          <w:sz w:val="20"/>
          <w:szCs w:val="20"/>
          <w:lang w:val="en-US"/>
        </w:rPr>
        <w:t>inclusion into</w:t>
      </w:r>
      <w:r w:rsidR="003C40BC">
        <w:rPr>
          <w:rFonts w:ascii="Arial" w:hAnsi="Arial" w:cs="Arial"/>
          <w:sz w:val="20"/>
          <w:szCs w:val="20"/>
          <w:lang w:val="en-US"/>
        </w:rPr>
        <w:t xml:space="preserve"> </w:t>
      </w:r>
      <w:r w:rsidR="00920E85">
        <w:rPr>
          <w:rFonts w:ascii="Arial" w:hAnsi="Arial" w:cs="Arial"/>
          <w:sz w:val="20"/>
          <w:szCs w:val="20"/>
          <w:lang w:val="en-US"/>
        </w:rPr>
        <w:t xml:space="preserve">a </w:t>
      </w:r>
      <w:r w:rsidR="002B60EF">
        <w:rPr>
          <w:rFonts w:ascii="Arial" w:hAnsi="Arial" w:cs="Arial"/>
          <w:sz w:val="20"/>
          <w:szCs w:val="20"/>
          <w:lang w:val="en-US"/>
        </w:rPr>
        <w:t>C</w:t>
      </w:r>
      <w:r w:rsidR="00920E85">
        <w:rPr>
          <w:rFonts w:ascii="Arial" w:hAnsi="Arial" w:cs="Arial"/>
          <w:sz w:val="20"/>
          <w:szCs w:val="20"/>
          <w:lang w:val="en-US"/>
        </w:rPr>
        <w:t xml:space="preserve">UP or </w:t>
      </w:r>
      <w:r w:rsidR="002B60EF">
        <w:rPr>
          <w:rFonts w:ascii="Arial" w:hAnsi="Arial" w:cs="Arial"/>
          <w:sz w:val="20"/>
          <w:szCs w:val="20"/>
          <w:lang w:val="en-US"/>
        </w:rPr>
        <w:t>MNP</w:t>
      </w:r>
      <w:r w:rsidR="00980F89">
        <w:rPr>
          <w:rFonts w:ascii="Arial" w:hAnsi="Arial" w:cs="Arial"/>
          <w:sz w:val="20"/>
          <w:szCs w:val="20"/>
          <w:lang w:val="en-US"/>
        </w:rPr>
        <w:t>.</w:t>
      </w:r>
    </w:p>
    <w:p w14:paraId="1AFB6EC1" w14:textId="49B5808E" w:rsidR="00CC0F37" w:rsidRDefault="00CC0F37" w:rsidP="008E2D5F">
      <w:pPr>
        <w:pStyle w:val="Lijstalinea"/>
        <w:spacing w:after="240"/>
        <w:jc w:val="both"/>
        <w:rPr>
          <w:rFonts w:ascii="Arial" w:hAnsi="Arial" w:cs="Arial"/>
          <w:sz w:val="20"/>
          <w:szCs w:val="20"/>
          <w:lang w:val="en-US"/>
        </w:rPr>
      </w:pPr>
      <w:r>
        <w:rPr>
          <w:rFonts w:ascii="Arial" w:hAnsi="Arial" w:cs="Arial"/>
          <w:sz w:val="20"/>
          <w:szCs w:val="20"/>
          <w:lang w:val="en-US"/>
        </w:rPr>
        <w:t>Hence i</w:t>
      </w:r>
      <w:r w:rsidRPr="00CC0F37">
        <w:rPr>
          <w:rFonts w:ascii="Arial" w:hAnsi="Arial" w:cs="Arial"/>
          <w:sz w:val="20"/>
          <w:szCs w:val="20"/>
          <w:lang w:val="en-US"/>
        </w:rPr>
        <w:t>f the objective is to continue the clinical data collection (</w:t>
      </w:r>
      <w:r w:rsidR="001E450C" w:rsidRPr="00CC0F37">
        <w:rPr>
          <w:rFonts w:ascii="Arial" w:hAnsi="Arial" w:cs="Arial"/>
          <w:sz w:val="20"/>
          <w:szCs w:val="20"/>
          <w:lang w:val="en-US"/>
        </w:rPr>
        <w:t>e.</w:t>
      </w:r>
      <w:r w:rsidR="001E450C">
        <w:rPr>
          <w:rFonts w:ascii="Arial" w:hAnsi="Arial" w:cs="Arial"/>
          <w:sz w:val="20"/>
          <w:szCs w:val="20"/>
          <w:lang w:val="en-US"/>
        </w:rPr>
        <w:t>g.</w:t>
      </w:r>
      <w:r w:rsidRPr="00CC0F37">
        <w:rPr>
          <w:rFonts w:ascii="Arial" w:hAnsi="Arial" w:cs="Arial"/>
          <w:sz w:val="20"/>
          <w:szCs w:val="20"/>
          <w:lang w:val="en-US"/>
        </w:rPr>
        <w:t xml:space="preserve"> extension of follow up), CUP/MNP shall not be possible. But if the objective is to continue access of the MP for patients </w:t>
      </w:r>
      <w:r w:rsidRPr="00CC0F37">
        <w:rPr>
          <w:rFonts w:ascii="Arial" w:hAnsi="Arial" w:cs="Arial"/>
          <w:sz w:val="20"/>
          <w:szCs w:val="20"/>
          <w:lang w:val="en-US"/>
        </w:rPr>
        <w:lastRenderedPageBreak/>
        <w:t>included in the study pending the access through the normal distribution pathway, it is indeed possible to set up a CUP/MNP.</w:t>
      </w:r>
    </w:p>
    <w:p w14:paraId="53119A75" w14:textId="77777777" w:rsidR="00BF4DC8" w:rsidRDefault="00BF4DC8" w:rsidP="008E2D5F">
      <w:pPr>
        <w:pStyle w:val="Lijstalinea"/>
        <w:spacing w:after="240"/>
        <w:jc w:val="both"/>
        <w:rPr>
          <w:rFonts w:ascii="Arial" w:hAnsi="Arial" w:cs="Arial"/>
          <w:sz w:val="20"/>
          <w:szCs w:val="20"/>
          <w:lang w:val="en-US"/>
        </w:rPr>
      </w:pPr>
    </w:p>
    <w:p w14:paraId="5B5E0DD6" w14:textId="77AA17EA" w:rsidR="00980F89" w:rsidRDefault="007532B7" w:rsidP="007D0E69">
      <w:pPr>
        <w:pStyle w:val="Lijstalinea"/>
        <w:numPr>
          <w:ilvl w:val="0"/>
          <w:numId w:val="1"/>
        </w:numPr>
        <w:spacing w:after="120"/>
        <w:ind w:left="714" w:hanging="357"/>
        <w:jc w:val="both"/>
        <w:rPr>
          <w:rFonts w:ascii="Arial" w:hAnsi="Arial" w:cs="Arial"/>
          <w:b/>
          <w:sz w:val="20"/>
          <w:szCs w:val="20"/>
          <w:lang w:val="en-US"/>
        </w:rPr>
      </w:pPr>
      <w:r w:rsidRPr="007D0E69">
        <w:rPr>
          <w:rFonts w:ascii="Arial" w:hAnsi="Arial" w:cs="Arial"/>
          <w:b/>
          <w:sz w:val="20"/>
          <w:szCs w:val="20"/>
          <w:lang w:val="en-US"/>
        </w:rPr>
        <w:t>Is it possib</w:t>
      </w:r>
      <w:r w:rsidR="00920E85" w:rsidRPr="00920E85">
        <w:rPr>
          <w:rFonts w:ascii="Arial" w:hAnsi="Arial" w:cs="Arial"/>
          <w:b/>
          <w:sz w:val="20"/>
          <w:szCs w:val="20"/>
          <w:lang w:val="en-US"/>
        </w:rPr>
        <w:t xml:space="preserve">le to collect data during a CUP or </w:t>
      </w:r>
      <w:r w:rsidRPr="007D0E69">
        <w:rPr>
          <w:rFonts w:ascii="Arial" w:hAnsi="Arial" w:cs="Arial"/>
          <w:b/>
          <w:sz w:val="20"/>
          <w:szCs w:val="20"/>
          <w:lang w:val="en-US"/>
        </w:rPr>
        <w:t>MNP in order to improve the understanding of the treatment in clinical practice?</w:t>
      </w:r>
    </w:p>
    <w:p w14:paraId="08AD0F7F" w14:textId="76A7C871" w:rsidR="00BF1D63" w:rsidRPr="007D0E69" w:rsidRDefault="00980F89" w:rsidP="007D0E69">
      <w:pPr>
        <w:pStyle w:val="Lijstalinea"/>
        <w:spacing w:after="240"/>
        <w:ind w:left="714"/>
        <w:jc w:val="both"/>
        <w:rPr>
          <w:rFonts w:ascii="Arial" w:hAnsi="Arial" w:cs="Arial"/>
          <w:b/>
          <w:sz w:val="20"/>
          <w:szCs w:val="20"/>
          <w:lang w:val="en-US"/>
        </w:rPr>
      </w:pPr>
      <w:r>
        <w:rPr>
          <w:rFonts w:ascii="Arial" w:hAnsi="Arial" w:cs="Arial"/>
          <w:sz w:val="20"/>
          <w:szCs w:val="20"/>
          <w:lang w:val="en-US"/>
        </w:rPr>
        <w:t xml:space="preserve">As stated in the previous answer, </w:t>
      </w:r>
      <w:r w:rsidR="002B60EF">
        <w:rPr>
          <w:rFonts w:ascii="Arial" w:hAnsi="Arial" w:cs="Arial"/>
          <w:sz w:val="20"/>
          <w:szCs w:val="20"/>
          <w:lang w:val="en-US"/>
        </w:rPr>
        <w:t>CUP</w:t>
      </w:r>
      <w:r w:rsidR="00920E85">
        <w:rPr>
          <w:rFonts w:ascii="Arial" w:hAnsi="Arial" w:cs="Arial"/>
          <w:sz w:val="20"/>
          <w:szCs w:val="20"/>
          <w:lang w:val="en-US"/>
        </w:rPr>
        <w:t xml:space="preserve">s or </w:t>
      </w:r>
      <w:r w:rsidR="002B60EF">
        <w:rPr>
          <w:rFonts w:ascii="Arial" w:hAnsi="Arial" w:cs="Arial"/>
          <w:sz w:val="20"/>
          <w:szCs w:val="20"/>
          <w:lang w:val="en-US"/>
        </w:rPr>
        <w:t>MNPs</w:t>
      </w:r>
      <w:r>
        <w:rPr>
          <w:rFonts w:ascii="Arial" w:hAnsi="Arial" w:cs="Arial"/>
          <w:sz w:val="20"/>
          <w:szCs w:val="20"/>
          <w:lang w:val="en-US"/>
        </w:rPr>
        <w:t xml:space="preserve"> cannot replace clinical trials for investigational purposes. </w:t>
      </w:r>
      <w:r w:rsidRPr="00980F89">
        <w:rPr>
          <w:rFonts w:ascii="Arial" w:hAnsi="Arial" w:cs="Arial"/>
          <w:sz w:val="20"/>
          <w:szCs w:val="20"/>
          <w:lang w:val="en-US"/>
        </w:rPr>
        <w:t>However data</w:t>
      </w:r>
      <w:r w:rsidR="00BF1D63" w:rsidRPr="007D0E69">
        <w:rPr>
          <w:rFonts w:ascii="Arial" w:hAnsi="Arial" w:cs="Arial"/>
          <w:sz w:val="20"/>
          <w:szCs w:val="20"/>
          <w:lang w:val="en-US"/>
        </w:rPr>
        <w:t xml:space="preserve"> collected during </w:t>
      </w:r>
      <w:r w:rsidR="000B1574">
        <w:rPr>
          <w:rFonts w:ascii="Arial" w:hAnsi="Arial" w:cs="Arial"/>
          <w:sz w:val="20"/>
          <w:szCs w:val="20"/>
          <w:lang w:val="en-US"/>
        </w:rPr>
        <w:t>a CUP or MNP</w:t>
      </w:r>
      <w:r w:rsidR="00BF1D63" w:rsidRPr="007D0E69">
        <w:rPr>
          <w:rFonts w:ascii="Arial" w:hAnsi="Arial" w:cs="Arial"/>
          <w:sz w:val="20"/>
          <w:szCs w:val="20"/>
          <w:lang w:val="en-US"/>
        </w:rPr>
        <w:t xml:space="preserve"> that are necessary for the conduct of the program (e.g. to check inclusion/exclusion criteria, to follow-up the B/R of a patient, pharmacovigilance data) could be used to enlarge the understanding of the treatment. It is not possible to collect more data than strictly needed for the conduct and evaluation of the program. </w:t>
      </w:r>
    </w:p>
    <w:p w14:paraId="677BF91B" w14:textId="350B2280" w:rsidR="001A2067" w:rsidRPr="007D0E69" w:rsidRDefault="001A2067" w:rsidP="001A2067">
      <w:pPr>
        <w:pStyle w:val="Lijstalinea"/>
        <w:numPr>
          <w:ilvl w:val="0"/>
          <w:numId w:val="1"/>
        </w:numPr>
        <w:spacing w:after="120"/>
        <w:ind w:left="714" w:hanging="357"/>
        <w:jc w:val="both"/>
        <w:rPr>
          <w:rFonts w:ascii="Arial" w:hAnsi="Arial" w:cs="Arial"/>
          <w:b/>
          <w:sz w:val="20"/>
          <w:szCs w:val="20"/>
          <w:lang w:val="en-US"/>
        </w:rPr>
      </w:pPr>
      <w:bookmarkStart w:id="5" w:name="_Ref1398056"/>
      <w:r w:rsidRPr="007D0E69">
        <w:rPr>
          <w:rFonts w:ascii="Arial" w:hAnsi="Arial" w:cs="Arial"/>
          <w:b/>
          <w:sz w:val="20"/>
          <w:szCs w:val="20"/>
          <w:lang w:val="en-US"/>
        </w:rPr>
        <w:t>C</w:t>
      </w:r>
      <w:r w:rsidR="00CA4D37" w:rsidRPr="007D0E69">
        <w:rPr>
          <w:rFonts w:ascii="Arial" w:hAnsi="Arial" w:cs="Arial"/>
          <w:b/>
          <w:sz w:val="20"/>
          <w:szCs w:val="20"/>
          <w:lang w:val="en-US"/>
        </w:rPr>
        <w:t>ould</w:t>
      </w:r>
      <w:r w:rsidRPr="007D0E69">
        <w:rPr>
          <w:rFonts w:ascii="Arial" w:hAnsi="Arial" w:cs="Arial"/>
          <w:b/>
          <w:sz w:val="20"/>
          <w:szCs w:val="20"/>
          <w:lang w:val="en-US"/>
        </w:rPr>
        <w:t xml:space="preserve"> we request for Scientific-Technical advice regarding Unmet Medical Need?</w:t>
      </w:r>
      <w:bookmarkEnd w:id="5"/>
      <w:r w:rsidRPr="007D0E69">
        <w:rPr>
          <w:rFonts w:ascii="Arial" w:hAnsi="Arial" w:cs="Arial"/>
          <w:b/>
          <w:sz w:val="20"/>
          <w:szCs w:val="20"/>
          <w:lang w:val="en-US"/>
        </w:rPr>
        <w:t xml:space="preserve"> </w:t>
      </w:r>
    </w:p>
    <w:p w14:paraId="1A106F7B" w14:textId="77777777" w:rsidR="001A2067" w:rsidRPr="007D0E69" w:rsidRDefault="001A2067" w:rsidP="001A2067">
      <w:pPr>
        <w:pStyle w:val="Lijstalinea"/>
        <w:spacing w:after="240"/>
        <w:jc w:val="both"/>
        <w:rPr>
          <w:rStyle w:val="Hyperlink"/>
          <w:rFonts w:ascii="Arial" w:hAnsi="Arial" w:cs="Arial"/>
          <w:sz w:val="20"/>
          <w:szCs w:val="20"/>
          <w:lang w:val="en-US"/>
        </w:rPr>
      </w:pPr>
      <w:r w:rsidRPr="007D0E69">
        <w:rPr>
          <w:rFonts w:ascii="Arial" w:hAnsi="Arial" w:cs="Arial"/>
          <w:sz w:val="20"/>
          <w:szCs w:val="20"/>
          <w:lang w:val="en-US"/>
        </w:rPr>
        <w:t xml:space="preserve">Yes. Scientific-Technical advice can be requested regarding all Unmet Medical Need questions. For the STA procedure please refer to </w:t>
      </w:r>
      <w:hyperlink r:id="rId8" w:history="1">
        <w:r w:rsidRPr="007D0E69">
          <w:rPr>
            <w:rStyle w:val="Hyperlink"/>
            <w:rFonts w:ascii="Arial" w:hAnsi="Arial" w:cs="Arial"/>
            <w:sz w:val="20"/>
            <w:szCs w:val="20"/>
            <w:lang w:val="en-US"/>
          </w:rPr>
          <w:t>http://www.fagg-afmps.be/en/human_use/medicines/medicines/scientific_technical_advice/generalites/</w:t>
        </w:r>
      </w:hyperlink>
      <w:r w:rsidRPr="007D0E69">
        <w:rPr>
          <w:rStyle w:val="Hyperlink"/>
          <w:rFonts w:ascii="Arial" w:hAnsi="Arial" w:cs="Arial"/>
          <w:color w:val="000000" w:themeColor="text1"/>
          <w:sz w:val="20"/>
          <w:szCs w:val="20"/>
          <w:lang w:val="en-US"/>
        </w:rPr>
        <w:t>.</w:t>
      </w:r>
    </w:p>
    <w:p w14:paraId="03918007" w14:textId="77777777" w:rsidR="001A2067" w:rsidRPr="007D0E69" w:rsidRDefault="001A2067" w:rsidP="001A2067">
      <w:pPr>
        <w:pStyle w:val="Lijstalinea"/>
        <w:numPr>
          <w:ilvl w:val="0"/>
          <w:numId w:val="1"/>
        </w:numPr>
        <w:spacing w:before="120" w:after="120"/>
        <w:ind w:left="714" w:hanging="357"/>
        <w:jc w:val="both"/>
        <w:rPr>
          <w:rFonts w:ascii="Arial" w:hAnsi="Arial" w:cs="Arial"/>
          <w:b/>
          <w:sz w:val="20"/>
          <w:szCs w:val="20"/>
          <w:lang w:val="en-US"/>
        </w:rPr>
      </w:pPr>
      <w:bookmarkStart w:id="6" w:name="_Ref1398058"/>
      <w:r w:rsidRPr="007D0E69">
        <w:rPr>
          <w:rFonts w:ascii="Arial" w:hAnsi="Arial" w:cs="Arial"/>
          <w:b/>
          <w:sz w:val="20"/>
          <w:szCs w:val="20"/>
          <w:lang w:val="en-US"/>
        </w:rPr>
        <w:t>How to proceed if the applicant wants to request for a cohort (Early Temporary Reimbursement)?</w:t>
      </w:r>
      <w:bookmarkEnd w:id="6"/>
    </w:p>
    <w:p w14:paraId="7FE944CF" w14:textId="358C9896" w:rsidR="001A2067" w:rsidRPr="007D0E69" w:rsidRDefault="001A2067" w:rsidP="001A2067">
      <w:pPr>
        <w:pStyle w:val="Lijstalinea"/>
        <w:spacing w:before="120" w:after="240"/>
        <w:jc w:val="both"/>
        <w:rPr>
          <w:rFonts w:ascii="Arial" w:hAnsi="Arial" w:cs="Arial"/>
          <w:sz w:val="20"/>
          <w:szCs w:val="20"/>
          <w:lang w:val="en-US"/>
        </w:rPr>
      </w:pPr>
      <w:r w:rsidRPr="007D0E69">
        <w:rPr>
          <w:rFonts w:ascii="Arial" w:hAnsi="Arial" w:cs="Arial"/>
          <w:sz w:val="20"/>
          <w:szCs w:val="20"/>
          <w:lang w:val="en-US"/>
        </w:rPr>
        <w:t>At the moment of submission for a CUP</w:t>
      </w:r>
      <w:r w:rsidR="00920E85" w:rsidRPr="007D0E69">
        <w:rPr>
          <w:rFonts w:ascii="Arial" w:hAnsi="Arial" w:cs="Arial"/>
          <w:sz w:val="20"/>
          <w:szCs w:val="20"/>
          <w:lang w:val="en-US"/>
        </w:rPr>
        <w:t xml:space="preserve"> or </w:t>
      </w:r>
      <w:r w:rsidRPr="007D0E69">
        <w:rPr>
          <w:rFonts w:ascii="Arial" w:hAnsi="Arial" w:cs="Arial"/>
          <w:sz w:val="20"/>
          <w:szCs w:val="20"/>
          <w:lang w:val="en-US"/>
        </w:rPr>
        <w:t>MNP (Early Temporary Authorization or ETA), the applicant needs to notify his intention to request a cohort. Once the CUP</w:t>
      </w:r>
      <w:r w:rsidR="00920E85" w:rsidRPr="007D0E69">
        <w:rPr>
          <w:rFonts w:ascii="Arial" w:hAnsi="Arial" w:cs="Arial"/>
          <w:sz w:val="20"/>
          <w:szCs w:val="20"/>
          <w:lang w:val="en-US"/>
        </w:rPr>
        <w:t xml:space="preserve"> or </w:t>
      </w:r>
      <w:r w:rsidRPr="007D0E69">
        <w:rPr>
          <w:rFonts w:ascii="Arial" w:hAnsi="Arial" w:cs="Arial"/>
          <w:sz w:val="20"/>
          <w:szCs w:val="20"/>
          <w:lang w:val="en-US"/>
        </w:rPr>
        <w:t>MNP is approved the request for cohort (Early Temporary Reimbursement or ETR) can be done at the RIZIV/INAMI. The starting date of the CUP</w:t>
      </w:r>
      <w:r w:rsidR="00920E85" w:rsidRPr="007D0E69">
        <w:rPr>
          <w:rFonts w:ascii="Arial" w:hAnsi="Arial" w:cs="Arial"/>
          <w:sz w:val="20"/>
          <w:szCs w:val="20"/>
          <w:lang w:val="en-US"/>
        </w:rPr>
        <w:t xml:space="preserve"> or </w:t>
      </w:r>
      <w:r w:rsidRPr="007D0E69">
        <w:rPr>
          <w:rFonts w:ascii="Arial" w:hAnsi="Arial" w:cs="Arial"/>
          <w:sz w:val="20"/>
          <w:szCs w:val="20"/>
          <w:lang w:val="en-US"/>
        </w:rPr>
        <w:t xml:space="preserve">MNP cannot be later than the date of cohort </w:t>
      </w:r>
      <w:r w:rsidRPr="007D0E69">
        <w:rPr>
          <w:rFonts w:ascii="Arial" w:hAnsi="Arial" w:cs="Arial"/>
          <w:sz w:val="20"/>
          <w:szCs w:val="20"/>
          <w:u w:val="single"/>
          <w:lang w:val="en-US"/>
        </w:rPr>
        <w:t>request</w:t>
      </w:r>
      <w:r w:rsidRPr="007D0E69">
        <w:rPr>
          <w:rFonts w:ascii="Arial" w:hAnsi="Arial" w:cs="Arial"/>
          <w:sz w:val="20"/>
          <w:szCs w:val="20"/>
          <w:lang w:val="en-US"/>
        </w:rPr>
        <w:t>. For further information on cohort request please refer to</w:t>
      </w:r>
      <w:r w:rsidR="000D3B97">
        <w:rPr>
          <w:rFonts w:ascii="Arial" w:hAnsi="Arial" w:cs="Arial"/>
          <w:sz w:val="20"/>
          <w:szCs w:val="20"/>
          <w:lang w:val="en-US"/>
        </w:rPr>
        <w:t xml:space="preserve"> </w:t>
      </w:r>
      <w:hyperlink r:id="rId9" w:history="1">
        <w:r w:rsidR="000D3B97" w:rsidRPr="007D0E69">
          <w:rPr>
            <w:rStyle w:val="Hyperlink"/>
            <w:rFonts w:ascii="Arial" w:hAnsi="Arial" w:cs="Arial"/>
            <w:sz w:val="20"/>
            <w:szCs w:val="20"/>
            <w:lang w:val="en-US"/>
          </w:rPr>
          <w:t>http://www.inami.fgov.be/nl/themas/kost-terugbetaling/door-ziekenfonds/geneesmiddel-gezondheidsproduct/terugbetalen/Paginas/unmet-medical-need.aspx</w:t>
        </w:r>
      </w:hyperlink>
      <w:r w:rsidRPr="007D0E69">
        <w:rPr>
          <w:rFonts w:ascii="Arial" w:hAnsi="Arial" w:cs="Arial"/>
          <w:sz w:val="20"/>
          <w:szCs w:val="20"/>
          <w:lang w:val="en-US"/>
        </w:rPr>
        <w:t>. Having the intention to request or not for a cohort (ETR) does not influence CUP</w:t>
      </w:r>
      <w:r w:rsidR="00920E85" w:rsidRPr="007D0E69">
        <w:rPr>
          <w:rFonts w:ascii="Arial" w:hAnsi="Arial" w:cs="Arial"/>
          <w:sz w:val="20"/>
          <w:szCs w:val="20"/>
          <w:lang w:val="en-US"/>
        </w:rPr>
        <w:t xml:space="preserve"> or </w:t>
      </w:r>
      <w:r w:rsidRPr="007D0E69">
        <w:rPr>
          <w:rFonts w:ascii="Arial" w:hAnsi="Arial" w:cs="Arial"/>
          <w:sz w:val="20"/>
          <w:szCs w:val="20"/>
          <w:lang w:val="en-US"/>
        </w:rPr>
        <w:t>MNP approval/refusal (ETA).</w:t>
      </w:r>
    </w:p>
    <w:p w14:paraId="3301C936" w14:textId="77777777" w:rsidR="001A2067" w:rsidRPr="007D0E69" w:rsidRDefault="001A2067" w:rsidP="001A2067">
      <w:pPr>
        <w:pStyle w:val="Lijstalinea"/>
        <w:numPr>
          <w:ilvl w:val="0"/>
          <w:numId w:val="1"/>
        </w:numPr>
        <w:tabs>
          <w:tab w:val="left" w:pos="1620"/>
        </w:tabs>
        <w:spacing w:before="120"/>
        <w:jc w:val="both"/>
        <w:rPr>
          <w:rFonts w:ascii="Arial" w:hAnsi="Arial" w:cs="Arial"/>
          <w:b/>
          <w:sz w:val="20"/>
          <w:szCs w:val="20"/>
          <w:lang w:val="en-US"/>
        </w:rPr>
      </w:pPr>
      <w:bookmarkStart w:id="7" w:name="_Ref1398060"/>
      <w:r w:rsidRPr="007D0E69">
        <w:rPr>
          <w:rFonts w:ascii="Arial" w:hAnsi="Arial" w:cs="Arial"/>
          <w:b/>
          <w:sz w:val="20"/>
          <w:szCs w:val="20"/>
          <w:lang w:val="en-US"/>
        </w:rPr>
        <w:t>Is a MNP with a biosimilar possible?</w:t>
      </w:r>
      <w:bookmarkEnd w:id="7"/>
      <w:r w:rsidRPr="007D0E69">
        <w:rPr>
          <w:rFonts w:ascii="Arial" w:hAnsi="Arial" w:cs="Arial"/>
          <w:b/>
          <w:sz w:val="20"/>
          <w:szCs w:val="20"/>
          <w:lang w:val="en-US"/>
        </w:rPr>
        <w:t xml:space="preserve"> </w:t>
      </w:r>
    </w:p>
    <w:p w14:paraId="6690FAF3" w14:textId="77777777" w:rsidR="001A2067" w:rsidRPr="007D0E69" w:rsidRDefault="001A2067" w:rsidP="001A2067">
      <w:pPr>
        <w:spacing w:before="120" w:after="240"/>
        <w:ind w:left="714"/>
        <w:jc w:val="both"/>
        <w:rPr>
          <w:rFonts w:ascii="Arial" w:hAnsi="Arial" w:cs="Arial"/>
          <w:sz w:val="20"/>
          <w:szCs w:val="20"/>
          <w:lang w:val="en-US"/>
        </w:rPr>
      </w:pPr>
      <w:r w:rsidRPr="007D0E69">
        <w:rPr>
          <w:rFonts w:ascii="Arial" w:hAnsi="Arial" w:cs="Arial"/>
          <w:sz w:val="20"/>
          <w:szCs w:val="20"/>
          <w:lang w:val="en-US"/>
        </w:rPr>
        <w:t>A MNP with a biosimilar (for instance in a new indication) is not excluded but should fulfill all conditions for the set-up of a MNP.</w:t>
      </w:r>
    </w:p>
    <w:p w14:paraId="62F8306A" w14:textId="724EE6F0" w:rsidR="001A2067" w:rsidRPr="007D0E69" w:rsidRDefault="001A2067" w:rsidP="000F594A">
      <w:pPr>
        <w:pStyle w:val="Lijstalinea"/>
        <w:numPr>
          <w:ilvl w:val="0"/>
          <w:numId w:val="1"/>
        </w:numPr>
        <w:spacing w:before="120" w:after="120"/>
        <w:ind w:left="714" w:hanging="357"/>
        <w:jc w:val="both"/>
        <w:rPr>
          <w:rFonts w:ascii="Arial" w:hAnsi="Arial" w:cs="Arial"/>
          <w:b/>
          <w:sz w:val="20"/>
          <w:szCs w:val="20"/>
          <w:lang w:val="en-US"/>
        </w:rPr>
      </w:pPr>
      <w:bookmarkStart w:id="8" w:name="_Ref1398062"/>
      <w:r w:rsidRPr="007D0E69">
        <w:rPr>
          <w:rFonts w:ascii="Arial" w:hAnsi="Arial" w:cs="Arial"/>
          <w:b/>
          <w:sz w:val="20"/>
          <w:szCs w:val="20"/>
          <w:lang w:val="en-US"/>
        </w:rPr>
        <w:t>Can a CUP</w:t>
      </w:r>
      <w:r w:rsidR="00920E85" w:rsidRPr="007D0E69">
        <w:rPr>
          <w:rFonts w:ascii="Arial" w:hAnsi="Arial" w:cs="Arial"/>
          <w:b/>
          <w:sz w:val="20"/>
          <w:szCs w:val="20"/>
          <w:lang w:val="en-US"/>
        </w:rPr>
        <w:t xml:space="preserve"> or </w:t>
      </w:r>
      <w:r w:rsidRPr="007D0E69">
        <w:rPr>
          <w:rFonts w:ascii="Arial" w:hAnsi="Arial" w:cs="Arial"/>
          <w:b/>
          <w:sz w:val="20"/>
          <w:szCs w:val="20"/>
          <w:lang w:val="en-US"/>
        </w:rPr>
        <w:t xml:space="preserve">MNP be requested for </w:t>
      </w:r>
      <w:r w:rsidR="00553939" w:rsidRPr="007D0E69">
        <w:rPr>
          <w:rFonts w:ascii="Arial" w:hAnsi="Arial" w:cs="Arial"/>
          <w:b/>
          <w:sz w:val="20"/>
          <w:szCs w:val="20"/>
          <w:lang w:val="en-US"/>
        </w:rPr>
        <w:t xml:space="preserve">a medicinal product for prophylactic </w:t>
      </w:r>
      <w:r w:rsidRPr="007D0E69">
        <w:rPr>
          <w:rFonts w:ascii="Arial" w:hAnsi="Arial" w:cs="Arial"/>
          <w:b/>
          <w:sz w:val="20"/>
          <w:szCs w:val="20"/>
          <w:lang w:val="en-US"/>
        </w:rPr>
        <w:t>vaccination?</w:t>
      </w:r>
      <w:bookmarkEnd w:id="8"/>
      <w:r w:rsidRPr="007D0E69">
        <w:rPr>
          <w:rFonts w:ascii="Arial" w:hAnsi="Arial" w:cs="Arial"/>
          <w:b/>
          <w:sz w:val="20"/>
          <w:szCs w:val="20"/>
          <w:lang w:val="en-US"/>
        </w:rPr>
        <w:t xml:space="preserve"> </w:t>
      </w:r>
    </w:p>
    <w:p w14:paraId="6666412D" w14:textId="5261AB88" w:rsidR="001A2067" w:rsidRPr="0011153D" w:rsidRDefault="001A2067" w:rsidP="001A2067">
      <w:pPr>
        <w:spacing w:before="120" w:after="240"/>
        <w:ind w:left="714"/>
        <w:jc w:val="both"/>
        <w:rPr>
          <w:rFonts w:ascii="Arial" w:hAnsi="Arial" w:cs="Arial"/>
          <w:sz w:val="20"/>
          <w:szCs w:val="20"/>
          <w:lang w:val="en-US"/>
        </w:rPr>
      </w:pPr>
      <w:r w:rsidRPr="007D0E69">
        <w:rPr>
          <w:rFonts w:ascii="Arial" w:hAnsi="Arial" w:cs="Arial"/>
          <w:sz w:val="20"/>
          <w:szCs w:val="20"/>
          <w:lang w:val="en-US"/>
        </w:rPr>
        <w:t xml:space="preserve">The prophylactic vaccination in healthy persons </w:t>
      </w:r>
      <w:r w:rsidR="00CB07EC" w:rsidRPr="007D0E69">
        <w:rPr>
          <w:rFonts w:ascii="Arial" w:hAnsi="Arial" w:cs="Arial"/>
          <w:sz w:val="20"/>
          <w:szCs w:val="20"/>
          <w:lang w:val="en-US"/>
        </w:rPr>
        <w:t>falls</w:t>
      </w:r>
      <w:r w:rsidRPr="007D0E69">
        <w:rPr>
          <w:rFonts w:ascii="Arial" w:hAnsi="Arial" w:cs="Arial"/>
          <w:sz w:val="20"/>
          <w:szCs w:val="20"/>
          <w:lang w:val="en-US"/>
        </w:rPr>
        <w:t xml:space="preserve"> outside the scope of the compassionate use definition. Please be aware that Art. 110 of the RD of 14/12/2006 might be applicable</w:t>
      </w:r>
      <w:r w:rsidR="00CB07EC" w:rsidRPr="007D0E69">
        <w:rPr>
          <w:rFonts w:ascii="Arial" w:hAnsi="Arial" w:cs="Arial"/>
          <w:sz w:val="20"/>
          <w:szCs w:val="20"/>
          <w:lang w:val="en-US"/>
        </w:rPr>
        <w:t xml:space="preserve"> for </w:t>
      </w:r>
      <w:r w:rsidR="00CB07EC" w:rsidRPr="0011153D">
        <w:rPr>
          <w:rFonts w:ascii="Arial" w:hAnsi="Arial" w:cs="Arial"/>
          <w:sz w:val="20"/>
          <w:szCs w:val="20"/>
          <w:lang w:val="en-US"/>
        </w:rPr>
        <w:t>these cases</w:t>
      </w:r>
      <w:r w:rsidRPr="0011153D">
        <w:rPr>
          <w:rFonts w:ascii="Arial" w:hAnsi="Arial" w:cs="Arial"/>
          <w:sz w:val="20"/>
          <w:szCs w:val="20"/>
          <w:lang w:val="en-US"/>
        </w:rPr>
        <w:t>.</w:t>
      </w:r>
    </w:p>
    <w:p w14:paraId="2F98042C" w14:textId="77777777" w:rsidR="00E016E4" w:rsidRPr="00AD00CB" w:rsidRDefault="00E016E4" w:rsidP="00E016E4">
      <w:pPr>
        <w:pStyle w:val="Lijstalinea"/>
        <w:numPr>
          <w:ilvl w:val="0"/>
          <w:numId w:val="1"/>
        </w:numPr>
        <w:rPr>
          <w:rFonts w:ascii="Arial" w:hAnsi="Arial" w:cs="Arial"/>
          <w:b/>
          <w:bCs/>
          <w:sz w:val="20"/>
          <w:szCs w:val="20"/>
          <w:lang w:val="en-GB"/>
        </w:rPr>
      </w:pPr>
      <w:r w:rsidRPr="00AD00CB">
        <w:rPr>
          <w:rFonts w:ascii="Arial" w:hAnsi="Arial" w:cs="Arial"/>
          <w:b/>
          <w:bCs/>
          <w:sz w:val="20"/>
          <w:szCs w:val="20"/>
          <w:lang w:val="en-GB"/>
        </w:rPr>
        <w:t>Can we set-up a MNP for a combination of two medicinal products for a new indication that is in clinical development if each of the two products is registered in another indication?</w:t>
      </w:r>
    </w:p>
    <w:p w14:paraId="75E4D93C" w14:textId="77777777" w:rsidR="00E016E4" w:rsidRPr="00AD00CB" w:rsidRDefault="00E016E4" w:rsidP="007D0E69">
      <w:pPr>
        <w:spacing w:before="120" w:after="240"/>
        <w:ind w:left="714"/>
        <w:jc w:val="both"/>
        <w:rPr>
          <w:rFonts w:ascii="Arial" w:hAnsi="Arial" w:cs="Arial"/>
          <w:sz w:val="20"/>
          <w:szCs w:val="20"/>
          <w:lang w:val="en-US"/>
        </w:rPr>
      </w:pPr>
      <w:r w:rsidRPr="00AD00CB">
        <w:rPr>
          <w:rFonts w:ascii="Arial" w:hAnsi="Arial" w:cs="Arial"/>
          <w:sz w:val="20"/>
          <w:szCs w:val="20"/>
          <w:lang w:val="en-US"/>
        </w:rPr>
        <w:t xml:space="preserve">Yes, it is possible to set-up a MNP for a combination of medicinal products for a new indication provided that all conditions for a MNP are fulfilled regarding unmet need and benefit/risk balance. </w:t>
      </w:r>
    </w:p>
    <w:p w14:paraId="676EB70D" w14:textId="10FDBBF2" w:rsidR="00E016E4" w:rsidRDefault="00E016E4" w:rsidP="007D0E69">
      <w:pPr>
        <w:spacing w:before="120" w:after="240"/>
        <w:ind w:left="714"/>
        <w:jc w:val="both"/>
        <w:rPr>
          <w:rFonts w:ascii="Arial" w:hAnsi="Arial" w:cs="Arial"/>
          <w:sz w:val="20"/>
          <w:szCs w:val="20"/>
          <w:lang w:val="en-US"/>
        </w:rPr>
      </w:pPr>
      <w:r w:rsidRPr="00AD00CB">
        <w:rPr>
          <w:rFonts w:ascii="Arial" w:hAnsi="Arial" w:cs="Arial"/>
          <w:sz w:val="20"/>
          <w:szCs w:val="20"/>
          <w:lang w:val="en-US"/>
        </w:rPr>
        <w:t>If the two drugs have two different MAHs, the MNP request can be made by one of the MAHs with the agreement of the other MAH. The MAH making the request is the responsible of the program with the responsibilities as defined in the answer on question 19. Before the start of the program an agreement should be made between the MAHs to define the tasks and responsibilities of each MAH.</w:t>
      </w:r>
    </w:p>
    <w:p w14:paraId="088A0427" w14:textId="79522D9D" w:rsidR="00D14C20" w:rsidRPr="000D3B97" w:rsidRDefault="00A3436C" w:rsidP="00D14C20">
      <w:pPr>
        <w:pStyle w:val="Lijstalinea"/>
        <w:numPr>
          <w:ilvl w:val="0"/>
          <w:numId w:val="1"/>
        </w:numPr>
        <w:spacing w:before="120" w:after="240"/>
        <w:jc w:val="both"/>
        <w:rPr>
          <w:rFonts w:ascii="Arial" w:hAnsi="Arial" w:cs="Arial"/>
          <w:b/>
          <w:bCs/>
          <w:sz w:val="20"/>
          <w:szCs w:val="20"/>
          <w:lang w:val="en-GB"/>
        </w:rPr>
      </w:pPr>
      <w:r w:rsidRPr="000D3B97">
        <w:rPr>
          <w:rFonts w:ascii="Arial" w:hAnsi="Arial" w:cs="Arial"/>
          <w:b/>
          <w:bCs/>
          <w:sz w:val="20"/>
          <w:szCs w:val="20"/>
          <w:lang w:val="en-GB"/>
        </w:rPr>
        <w:lastRenderedPageBreak/>
        <w:t xml:space="preserve">Should </w:t>
      </w:r>
      <w:r w:rsidR="0011153D" w:rsidRPr="000D3B97">
        <w:rPr>
          <w:rFonts w:ascii="Arial" w:hAnsi="Arial" w:cs="Arial"/>
          <w:b/>
          <w:bCs/>
          <w:sz w:val="20"/>
          <w:szCs w:val="20"/>
          <w:lang w:val="en-GB"/>
        </w:rPr>
        <w:t xml:space="preserve">we provide </w:t>
      </w:r>
      <w:r w:rsidR="003D3C46" w:rsidRPr="000D3B97">
        <w:rPr>
          <w:rFonts w:ascii="Arial" w:hAnsi="Arial" w:cs="Arial"/>
          <w:b/>
          <w:bCs/>
          <w:sz w:val="20"/>
          <w:szCs w:val="20"/>
          <w:lang w:val="en-GB"/>
        </w:rPr>
        <w:t>all</w:t>
      </w:r>
      <w:r w:rsidR="0011153D" w:rsidRPr="000D3B97">
        <w:rPr>
          <w:rFonts w:ascii="Arial" w:hAnsi="Arial" w:cs="Arial"/>
          <w:b/>
          <w:bCs/>
          <w:sz w:val="20"/>
          <w:szCs w:val="20"/>
          <w:lang w:val="en-GB"/>
        </w:rPr>
        <w:t xml:space="preserve"> medicin</w:t>
      </w:r>
      <w:r w:rsidR="003A20C0" w:rsidRPr="000D3B97">
        <w:rPr>
          <w:rFonts w:ascii="Arial" w:hAnsi="Arial" w:cs="Arial"/>
          <w:b/>
          <w:bCs/>
          <w:sz w:val="20"/>
          <w:szCs w:val="20"/>
          <w:lang w:val="en-GB"/>
        </w:rPr>
        <w:t>al products</w:t>
      </w:r>
      <w:r w:rsidR="0011153D" w:rsidRPr="000D3B97">
        <w:rPr>
          <w:rFonts w:ascii="Arial" w:hAnsi="Arial" w:cs="Arial"/>
          <w:b/>
          <w:bCs/>
          <w:sz w:val="20"/>
          <w:szCs w:val="20"/>
          <w:lang w:val="en-GB"/>
        </w:rPr>
        <w:t xml:space="preserve"> used in a </w:t>
      </w:r>
      <w:r w:rsidR="003A20C0" w:rsidRPr="000D3B97">
        <w:rPr>
          <w:rFonts w:ascii="Arial" w:hAnsi="Arial" w:cs="Arial"/>
          <w:b/>
          <w:bCs/>
          <w:sz w:val="20"/>
          <w:szCs w:val="20"/>
          <w:lang w:val="en-GB"/>
        </w:rPr>
        <w:t>CUP or MNP</w:t>
      </w:r>
      <w:r w:rsidR="00B85CCC" w:rsidRPr="000D3B97">
        <w:rPr>
          <w:rFonts w:ascii="Arial" w:hAnsi="Arial" w:cs="Arial"/>
          <w:b/>
          <w:bCs/>
          <w:sz w:val="20"/>
          <w:szCs w:val="20"/>
          <w:lang w:val="en-GB"/>
        </w:rPr>
        <w:t xml:space="preserve"> </w:t>
      </w:r>
      <w:r w:rsidR="003D3C46" w:rsidRPr="000D3B97">
        <w:rPr>
          <w:rFonts w:ascii="Arial" w:hAnsi="Arial" w:cs="Arial"/>
          <w:b/>
          <w:bCs/>
          <w:sz w:val="20"/>
          <w:szCs w:val="20"/>
          <w:lang w:val="en-GB"/>
        </w:rPr>
        <w:t xml:space="preserve">for </w:t>
      </w:r>
      <w:r w:rsidR="0011153D" w:rsidRPr="000D3B97">
        <w:rPr>
          <w:rFonts w:ascii="Arial" w:hAnsi="Arial" w:cs="Arial"/>
          <w:b/>
          <w:bCs/>
          <w:sz w:val="20"/>
          <w:szCs w:val="20"/>
          <w:lang w:val="en-GB"/>
        </w:rPr>
        <w:t xml:space="preserve"> a combination</w:t>
      </w:r>
      <w:r w:rsidR="003D3C46" w:rsidRPr="000D3B97">
        <w:rPr>
          <w:rFonts w:ascii="Arial" w:hAnsi="Arial" w:cs="Arial"/>
          <w:b/>
          <w:bCs/>
          <w:sz w:val="20"/>
          <w:szCs w:val="20"/>
          <w:lang w:val="en-GB"/>
        </w:rPr>
        <w:t xml:space="preserve"> of medicinal products free of charge?</w:t>
      </w:r>
      <w:r w:rsidR="0011153D" w:rsidRPr="000D3B97">
        <w:rPr>
          <w:rFonts w:ascii="Arial" w:hAnsi="Arial" w:cs="Arial"/>
          <w:b/>
          <w:bCs/>
          <w:sz w:val="20"/>
          <w:szCs w:val="20"/>
          <w:lang w:val="en-GB"/>
        </w:rPr>
        <w:t xml:space="preserve"> </w:t>
      </w:r>
    </w:p>
    <w:p w14:paraId="17FF0318" w14:textId="4293EFB2" w:rsidR="00CA54A1" w:rsidRPr="00173C67" w:rsidRDefault="00D508CC" w:rsidP="00AD00CB">
      <w:pPr>
        <w:spacing w:before="120" w:after="240"/>
        <w:ind w:left="708"/>
        <w:jc w:val="both"/>
        <w:rPr>
          <w:rFonts w:ascii="Arial" w:hAnsi="Arial" w:cs="Arial"/>
          <w:sz w:val="20"/>
          <w:szCs w:val="20"/>
          <w:lang w:val="en-US"/>
        </w:rPr>
      </w:pPr>
      <w:r w:rsidRPr="000D3B97">
        <w:rPr>
          <w:rFonts w:ascii="Arial" w:hAnsi="Arial" w:cs="Arial"/>
          <w:sz w:val="20"/>
          <w:szCs w:val="20"/>
          <w:lang w:val="en-GB"/>
        </w:rPr>
        <w:t xml:space="preserve">One of the medicinal products </w:t>
      </w:r>
      <w:r w:rsidR="00EE60B6" w:rsidRPr="000D3B97">
        <w:rPr>
          <w:rFonts w:ascii="Arial" w:hAnsi="Arial" w:cs="Arial"/>
          <w:sz w:val="20"/>
          <w:szCs w:val="20"/>
          <w:lang w:val="en-GB"/>
        </w:rPr>
        <w:t xml:space="preserve">indicated in a CUP or MNP </w:t>
      </w:r>
      <w:r w:rsidRPr="000D3B97">
        <w:rPr>
          <w:rFonts w:ascii="Arial" w:hAnsi="Arial" w:cs="Arial"/>
          <w:sz w:val="20"/>
          <w:szCs w:val="20"/>
          <w:lang w:val="en-GB"/>
        </w:rPr>
        <w:t xml:space="preserve">should be provided free of charge. </w:t>
      </w:r>
      <w:r w:rsidR="00A3436C" w:rsidRPr="000D3B97">
        <w:rPr>
          <w:rFonts w:ascii="Arial" w:hAnsi="Arial" w:cs="Arial"/>
          <w:sz w:val="20"/>
          <w:szCs w:val="20"/>
          <w:lang w:val="en-GB"/>
        </w:rPr>
        <w:t xml:space="preserve">Although it would be highly appreciated if </w:t>
      </w:r>
      <w:r w:rsidR="0011153D" w:rsidRPr="000D3B97">
        <w:rPr>
          <w:rFonts w:ascii="Arial" w:hAnsi="Arial" w:cs="Arial"/>
          <w:sz w:val="20"/>
          <w:szCs w:val="20"/>
          <w:lang w:val="en-GB"/>
        </w:rPr>
        <w:t>the other medicin</w:t>
      </w:r>
      <w:r w:rsidR="003A20C0" w:rsidRPr="000D3B97">
        <w:rPr>
          <w:rFonts w:ascii="Arial" w:hAnsi="Arial" w:cs="Arial"/>
          <w:sz w:val="20"/>
          <w:szCs w:val="20"/>
          <w:lang w:val="en-GB"/>
        </w:rPr>
        <w:t>al product</w:t>
      </w:r>
      <w:r w:rsidR="00A3436C" w:rsidRPr="000D3B97">
        <w:rPr>
          <w:rFonts w:ascii="Arial" w:hAnsi="Arial" w:cs="Arial"/>
          <w:sz w:val="20"/>
          <w:szCs w:val="20"/>
          <w:lang w:val="en-GB"/>
        </w:rPr>
        <w:t xml:space="preserve"> </w:t>
      </w:r>
      <w:r w:rsidRPr="000D3B97">
        <w:rPr>
          <w:rFonts w:ascii="Arial" w:hAnsi="Arial" w:cs="Arial"/>
          <w:sz w:val="20"/>
          <w:szCs w:val="20"/>
          <w:lang w:val="en-GB"/>
        </w:rPr>
        <w:t>would</w:t>
      </w:r>
      <w:r w:rsidR="00A3436C" w:rsidRPr="000D3B97">
        <w:rPr>
          <w:rFonts w:ascii="Arial" w:hAnsi="Arial" w:cs="Arial"/>
          <w:sz w:val="20"/>
          <w:szCs w:val="20"/>
          <w:lang w:val="en-GB"/>
        </w:rPr>
        <w:t xml:space="preserve"> be </w:t>
      </w:r>
      <w:r w:rsidRPr="000D3B97">
        <w:rPr>
          <w:rFonts w:ascii="Arial" w:hAnsi="Arial" w:cs="Arial"/>
          <w:sz w:val="20"/>
          <w:szCs w:val="20"/>
          <w:lang w:val="en-GB"/>
        </w:rPr>
        <w:t xml:space="preserve">as well </w:t>
      </w:r>
      <w:r w:rsidR="00A3436C" w:rsidRPr="000D3B97">
        <w:rPr>
          <w:rFonts w:ascii="Arial" w:hAnsi="Arial" w:cs="Arial"/>
          <w:sz w:val="20"/>
          <w:szCs w:val="20"/>
          <w:lang w:val="en-GB"/>
        </w:rPr>
        <w:t>provided</w:t>
      </w:r>
      <w:r w:rsidRPr="000D3B97">
        <w:rPr>
          <w:rFonts w:ascii="Arial" w:hAnsi="Arial" w:cs="Arial"/>
          <w:sz w:val="20"/>
          <w:szCs w:val="20"/>
          <w:lang w:val="en-GB"/>
        </w:rPr>
        <w:t xml:space="preserve"> free of charge</w:t>
      </w:r>
      <w:r w:rsidR="00A3436C" w:rsidRPr="000D3B97">
        <w:rPr>
          <w:rFonts w:ascii="Arial" w:hAnsi="Arial" w:cs="Arial"/>
          <w:sz w:val="20"/>
          <w:szCs w:val="20"/>
          <w:lang w:val="en-GB"/>
        </w:rPr>
        <w:t xml:space="preserve"> by</w:t>
      </w:r>
      <w:r w:rsidR="00A3436C" w:rsidRPr="000D3B97">
        <w:rPr>
          <w:rFonts w:ascii="Arial" w:hAnsi="Arial" w:cs="Arial"/>
          <w:sz w:val="20"/>
          <w:szCs w:val="20"/>
          <w:lang w:val="en-US"/>
        </w:rPr>
        <w:t xml:space="preserve"> the MAH that is requesting the</w:t>
      </w:r>
      <w:r w:rsidRPr="000D3B97">
        <w:rPr>
          <w:rFonts w:ascii="Arial" w:hAnsi="Arial" w:cs="Arial"/>
          <w:sz w:val="20"/>
          <w:szCs w:val="20"/>
          <w:lang w:val="en-US"/>
        </w:rPr>
        <w:t xml:space="preserve"> CUP or MNP</w:t>
      </w:r>
      <w:r w:rsidR="00A3436C" w:rsidRPr="000D3B97">
        <w:rPr>
          <w:rFonts w:ascii="Arial" w:hAnsi="Arial" w:cs="Arial"/>
          <w:sz w:val="20"/>
          <w:szCs w:val="20"/>
          <w:lang w:val="en-US"/>
        </w:rPr>
        <w:t xml:space="preserve">, </w:t>
      </w:r>
      <w:r w:rsidRPr="000D3B97">
        <w:rPr>
          <w:rFonts w:ascii="Arial" w:hAnsi="Arial" w:cs="Arial"/>
          <w:sz w:val="20"/>
          <w:szCs w:val="20"/>
          <w:lang w:val="en-US"/>
        </w:rPr>
        <w:t>it</w:t>
      </w:r>
      <w:r w:rsidR="00A3436C" w:rsidRPr="000D3B97">
        <w:rPr>
          <w:rFonts w:ascii="Arial" w:hAnsi="Arial" w:cs="Arial"/>
          <w:sz w:val="20"/>
          <w:szCs w:val="20"/>
          <w:lang w:val="en-US"/>
        </w:rPr>
        <w:t xml:space="preserve">  </w:t>
      </w:r>
      <w:r w:rsidR="00B85CCC" w:rsidRPr="000D3B97">
        <w:rPr>
          <w:rFonts w:ascii="Arial" w:hAnsi="Arial" w:cs="Arial"/>
          <w:sz w:val="20"/>
          <w:szCs w:val="20"/>
          <w:lang w:val="en-US"/>
        </w:rPr>
        <w:t xml:space="preserve">is not legally </w:t>
      </w:r>
      <w:r w:rsidRPr="000D3B97">
        <w:rPr>
          <w:rFonts w:ascii="Arial" w:hAnsi="Arial" w:cs="Arial"/>
          <w:sz w:val="20"/>
          <w:szCs w:val="20"/>
          <w:lang w:val="en-US"/>
        </w:rPr>
        <w:t>obligated</w:t>
      </w:r>
      <w:r w:rsidR="00B85CCC" w:rsidRPr="000D3B97">
        <w:rPr>
          <w:rFonts w:ascii="Arial" w:hAnsi="Arial" w:cs="Arial"/>
          <w:sz w:val="20"/>
          <w:szCs w:val="20"/>
          <w:lang w:val="en-US"/>
        </w:rPr>
        <w:t xml:space="preserve"> to provide </w:t>
      </w:r>
      <w:r w:rsidRPr="000D3B97">
        <w:rPr>
          <w:rFonts w:ascii="Arial" w:hAnsi="Arial" w:cs="Arial"/>
          <w:sz w:val="20"/>
          <w:szCs w:val="20"/>
          <w:lang w:val="en-US"/>
        </w:rPr>
        <w:t>all</w:t>
      </w:r>
      <w:r w:rsidR="00B85CCC" w:rsidRPr="000D3B97">
        <w:rPr>
          <w:rFonts w:ascii="Arial" w:hAnsi="Arial" w:cs="Arial"/>
          <w:sz w:val="20"/>
          <w:szCs w:val="20"/>
          <w:lang w:val="en-US"/>
        </w:rPr>
        <w:t xml:space="preserve"> medicin</w:t>
      </w:r>
      <w:r w:rsidR="003A20C0" w:rsidRPr="000D3B97">
        <w:rPr>
          <w:rFonts w:ascii="Arial" w:hAnsi="Arial" w:cs="Arial"/>
          <w:sz w:val="20"/>
          <w:szCs w:val="20"/>
          <w:lang w:val="en-US"/>
        </w:rPr>
        <w:t>al products</w:t>
      </w:r>
      <w:r w:rsidR="00B85CCC" w:rsidRPr="000D3B97">
        <w:rPr>
          <w:rFonts w:ascii="Arial" w:hAnsi="Arial" w:cs="Arial"/>
          <w:sz w:val="20"/>
          <w:szCs w:val="20"/>
          <w:lang w:val="en-US"/>
        </w:rPr>
        <w:t xml:space="preserve"> free of charge.</w:t>
      </w:r>
      <w:r w:rsidR="005A3D09" w:rsidRPr="000D3B97">
        <w:rPr>
          <w:rFonts w:ascii="Arial" w:hAnsi="Arial" w:cs="Arial"/>
          <w:sz w:val="20"/>
          <w:szCs w:val="20"/>
          <w:lang w:val="en-US"/>
        </w:rPr>
        <w:t xml:space="preserve"> But in practice you need to consider the affordability of this cost for the patients.</w:t>
      </w:r>
    </w:p>
    <w:p w14:paraId="3EA9115C" w14:textId="77777777" w:rsidR="001A2067" w:rsidRDefault="001A2067" w:rsidP="00587079">
      <w:pPr>
        <w:pStyle w:val="Kop1"/>
        <w:numPr>
          <w:ilvl w:val="0"/>
          <w:numId w:val="2"/>
        </w:numPr>
        <w:spacing w:before="360" w:after="240"/>
        <w:ind w:left="567" w:hanging="425"/>
        <w:jc w:val="both"/>
        <w:rPr>
          <w:rStyle w:val="Zwaar"/>
          <w:rFonts w:ascii="Arial" w:hAnsi="Arial" w:cs="Arial"/>
          <w:b/>
          <w:color w:val="auto"/>
          <w:sz w:val="24"/>
          <w:szCs w:val="24"/>
          <w:u w:val="single"/>
          <w:lang w:val="en-US"/>
        </w:rPr>
      </w:pPr>
      <w:bookmarkStart w:id="9" w:name="_Ref1398067"/>
      <w:r w:rsidRPr="003579D2">
        <w:rPr>
          <w:rStyle w:val="Zwaar"/>
          <w:rFonts w:ascii="Arial" w:hAnsi="Arial" w:cs="Arial"/>
          <w:b/>
          <w:color w:val="auto"/>
          <w:sz w:val="24"/>
          <w:szCs w:val="24"/>
          <w:u w:val="single"/>
          <w:lang w:val="en-US"/>
        </w:rPr>
        <w:t>Application</w:t>
      </w:r>
      <w:bookmarkEnd w:id="9"/>
    </w:p>
    <w:p w14:paraId="770BB9C8" w14:textId="77777777" w:rsidR="001A2067" w:rsidRPr="003579D2" w:rsidRDefault="001A2067" w:rsidP="001A2067">
      <w:pPr>
        <w:pStyle w:val="Lijstalinea"/>
        <w:numPr>
          <w:ilvl w:val="0"/>
          <w:numId w:val="1"/>
        </w:numPr>
        <w:autoSpaceDE w:val="0"/>
        <w:autoSpaceDN w:val="0"/>
        <w:spacing w:before="120" w:after="120"/>
        <w:ind w:left="714" w:hanging="357"/>
        <w:jc w:val="both"/>
        <w:rPr>
          <w:rFonts w:ascii="Arial" w:hAnsi="Arial" w:cs="Arial"/>
          <w:b/>
          <w:sz w:val="20"/>
          <w:szCs w:val="20"/>
          <w:lang w:val="en-US"/>
        </w:rPr>
      </w:pPr>
      <w:bookmarkStart w:id="10" w:name="_Ref1398070"/>
      <w:r w:rsidRPr="003579D2">
        <w:rPr>
          <w:rFonts w:ascii="Arial" w:hAnsi="Arial" w:cs="Arial"/>
          <w:b/>
          <w:sz w:val="20"/>
          <w:szCs w:val="20"/>
          <w:lang w:val="en-US"/>
        </w:rPr>
        <w:t>Do we have to submit the complete EMA dossier?</w:t>
      </w:r>
      <w:bookmarkEnd w:id="10"/>
    </w:p>
    <w:p w14:paraId="568E4AF7" w14:textId="06B3713E" w:rsidR="00154B0D" w:rsidRPr="00C11411" w:rsidRDefault="001A2067" w:rsidP="00CA54A1">
      <w:pPr>
        <w:spacing w:after="240"/>
        <w:ind w:left="709"/>
        <w:jc w:val="both"/>
        <w:rPr>
          <w:rFonts w:ascii="Arial" w:hAnsi="Arial" w:cs="Arial"/>
          <w:sz w:val="20"/>
          <w:szCs w:val="20"/>
          <w:lang w:val="en-GB"/>
        </w:rPr>
      </w:pPr>
      <w:r w:rsidRPr="00C11411">
        <w:rPr>
          <w:rFonts w:ascii="Arial" w:hAnsi="Arial" w:cs="Arial"/>
          <w:sz w:val="20"/>
          <w:szCs w:val="20"/>
          <w:lang w:val="en-GB"/>
        </w:rPr>
        <w:t xml:space="preserve">If an application for Marketing Authorization has been introduced at EMA it is not necessary to provide the whole dossier. Please mention in the cover letter that an </w:t>
      </w:r>
      <w:r>
        <w:rPr>
          <w:rFonts w:ascii="Arial" w:hAnsi="Arial" w:cs="Arial"/>
          <w:sz w:val="20"/>
          <w:szCs w:val="20"/>
          <w:lang w:val="en-GB"/>
        </w:rPr>
        <w:t>MA</w:t>
      </w:r>
      <w:r w:rsidRPr="00C11411">
        <w:rPr>
          <w:rFonts w:ascii="Arial" w:hAnsi="Arial" w:cs="Arial"/>
          <w:sz w:val="20"/>
          <w:szCs w:val="20"/>
          <w:lang w:val="en-GB"/>
        </w:rPr>
        <w:t xml:space="preserve"> application has been introduced and the reference of the dossier. In this way we can consult the dossier.</w:t>
      </w:r>
    </w:p>
    <w:p w14:paraId="7D55716D" w14:textId="353D7143" w:rsidR="001A2067" w:rsidRPr="003579D2" w:rsidRDefault="001A2067" w:rsidP="001A2067">
      <w:pPr>
        <w:pStyle w:val="Lijstalinea"/>
        <w:numPr>
          <w:ilvl w:val="0"/>
          <w:numId w:val="1"/>
        </w:numPr>
        <w:spacing w:before="120" w:after="120"/>
        <w:jc w:val="both"/>
        <w:rPr>
          <w:rFonts w:ascii="Arial" w:hAnsi="Arial" w:cs="Arial"/>
          <w:b/>
          <w:sz w:val="20"/>
          <w:szCs w:val="20"/>
          <w:lang w:val="en-US"/>
        </w:rPr>
      </w:pPr>
      <w:bookmarkStart w:id="11" w:name="_Ref1398072"/>
      <w:r w:rsidRPr="003579D2">
        <w:rPr>
          <w:rFonts w:ascii="Arial" w:hAnsi="Arial" w:cs="Arial"/>
          <w:b/>
          <w:sz w:val="20"/>
          <w:szCs w:val="20"/>
          <w:lang w:val="en-US"/>
        </w:rPr>
        <w:t>Do we have to</w:t>
      </w:r>
      <w:r>
        <w:rPr>
          <w:rFonts w:ascii="Arial" w:hAnsi="Arial" w:cs="Arial"/>
          <w:b/>
          <w:sz w:val="20"/>
          <w:szCs w:val="20"/>
          <w:lang w:val="en-US"/>
        </w:rPr>
        <w:t xml:space="preserve"> use the protocol </w:t>
      </w:r>
      <w:r w:rsidR="00434C53">
        <w:rPr>
          <w:rFonts w:ascii="Arial" w:hAnsi="Arial" w:cs="Arial"/>
          <w:b/>
          <w:sz w:val="20"/>
          <w:szCs w:val="20"/>
          <w:lang w:val="en-US"/>
        </w:rPr>
        <w:t xml:space="preserve">and other </w:t>
      </w:r>
      <w:r>
        <w:rPr>
          <w:rFonts w:ascii="Arial" w:hAnsi="Arial" w:cs="Arial"/>
          <w:b/>
          <w:sz w:val="20"/>
          <w:szCs w:val="20"/>
          <w:lang w:val="en-US"/>
        </w:rPr>
        <w:t xml:space="preserve">templates available on the </w:t>
      </w:r>
      <w:hyperlink r:id="rId10" w:history="1">
        <w:r w:rsidRPr="001C7454">
          <w:rPr>
            <w:rStyle w:val="Hyperlink"/>
            <w:rFonts w:ascii="Arial" w:hAnsi="Arial" w:cs="Arial"/>
            <w:b/>
            <w:sz w:val="20"/>
            <w:szCs w:val="20"/>
            <w:lang w:val="en-US"/>
          </w:rPr>
          <w:t>website</w:t>
        </w:r>
      </w:hyperlink>
      <w:r w:rsidRPr="003579D2">
        <w:rPr>
          <w:rFonts w:ascii="Arial" w:hAnsi="Arial" w:cs="Arial"/>
          <w:b/>
          <w:sz w:val="20"/>
          <w:szCs w:val="20"/>
          <w:lang w:val="en-US"/>
        </w:rPr>
        <w:t>?</w:t>
      </w:r>
      <w:bookmarkEnd w:id="11"/>
    </w:p>
    <w:p w14:paraId="51ED67D2" w14:textId="4BC64D07" w:rsidR="001A2067" w:rsidRPr="003579D2" w:rsidRDefault="001A2067" w:rsidP="001A2067">
      <w:pPr>
        <w:spacing w:after="240"/>
        <w:ind w:left="709"/>
        <w:jc w:val="both"/>
        <w:rPr>
          <w:rFonts w:ascii="Arial" w:hAnsi="Arial" w:cs="Arial"/>
          <w:sz w:val="20"/>
          <w:szCs w:val="20"/>
          <w:lang w:val="en-US"/>
        </w:rPr>
      </w:pPr>
      <w:r>
        <w:rPr>
          <w:rFonts w:ascii="Arial" w:hAnsi="Arial" w:cs="Arial"/>
          <w:sz w:val="20"/>
          <w:szCs w:val="20"/>
          <w:lang w:val="en-US"/>
        </w:rPr>
        <w:t>It is highly recommended</w:t>
      </w:r>
      <w:r w:rsidR="003461B7">
        <w:rPr>
          <w:rFonts w:ascii="Arial" w:hAnsi="Arial" w:cs="Arial"/>
          <w:sz w:val="20"/>
          <w:szCs w:val="20"/>
          <w:lang w:val="en-US"/>
        </w:rPr>
        <w:t xml:space="preserve"> to</w:t>
      </w:r>
      <w:r>
        <w:rPr>
          <w:rFonts w:ascii="Arial" w:hAnsi="Arial" w:cs="Arial"/>
          <w:sz w:val="20"/>
          <w:szCs w:val="20"/>
          <w:lang w:val="en-US"/>
        </w:rPr>
        <w:t xml:space="preserve"> </w:t>
      </w:r>
      <w:r w:rsidR="00DB219E">
        <w:rPr>
          <w:rFonts w:ascii="Arial" w:hAnsi="Arial" w:cs="Arial"/>
          <w:sz w:val="20"/>
          <w:szCs w:val="20"/>
          <w:lang w:val="en-US"/>
        </w:rPr>
        <w:t>use the template</w:t>
      </w:r>
      <w:r>
        <w:rPr>
          <w:rFonts w:ascii="Arial" w:hAnsi="Arial" w:cs="Arial"/>
          <w:sz w:val="20"/>
          <w:szCs w:val="20"/>
          <w:lang w:val="en-US"/>
        </w:rPr>
        <w:t xml:space="preserve"> documents </w:t>
      </w:r>
      <w:r w:rsidR="00BC2C28">
        <w:rPr>
          <w:rFonts w:ascii="Arial" w:hAnsi="Arial" w:cs="Arial"/>
          <w:sz w:val="20"/>
          <w:szCs w:val="20"/>
          <w:lang w:val="en-US"/>
        </w:rPr>
        <w:t xml:space="preserve">in order to capture </w:t>
      </w:r>
      <w:r>
        <w:rPr>
          <w:rFonts w:ascii="Arial" w:hAnsi="Arial" w:cs="Arial"/>
          <w:sz w:val="20"/>
          <w:szCs w:val="20"/>
          <w:lang w:val="en-US"/>
        </w:rPr>
        <w:t>all necessary information.</w:t>
      </w:r>
    </w:p>
    <w:p w14:paraId="7F8EEF3E" w14:textId="77777777" w:rsidR="001A2067" w:rsidRDefault="001A2067" w:rsidP="001A2067">
      <w:pPr>
        <w:pStyle w:val="Lijstalinea"/>
        <w:numPr>
          <w:ilvl w:val="0"/>
          <w:numId w:val="1"/>
        </w:numPr>
        <w:spacing w:after="120"/>
        <w:ind w:left="714" w:hanging="357"/>
        <w:jc w:val="both"/>
        <w:rPr>
          <w:rFonts w:ascii="Arial" w:hAnsi="Arial" w:cs="Arial"/>
          <w:b/>
          <w:sz w:val="20"/>
          <w:szCs w:val="20"/>
          <w:lang w:val="en-US"/>
        </w:rPr>
      </w:pPr>
      <w:bookmarkStart w:id="12" w:name="_Ref1398074"/>
      <w:r w:rsidRPr="003579D2">
        <w:rPr>
          <w:rFonts w:ascii="Arial" w:hAnsi="Arial" w:cs="Arial"/>
          <w:b/>
          <w:sz w:val="20"/>
          <w:szCs w:val="20"/>
          <w:lang w:val="en-US"/>
        </w:rPr>
        <w:t xml:space="preserve">What is </w:t>
      </w:r>
      <w:r>
        <w:rPr>
          <w:rFonts w:ascii="Arial" w:hAnsi="Arial" w:cs="Arial"/>
          <w:b/>
          <w:sz w:val="20"/>
          <w:szCs w:val="20"/>
          <w:lang w:val="en-US"/>
        </w:rPr>
        <w:t xml:space="preserve">the </w:t>
      </w:r>
      <w:r w:rsidRPr="003579D2">
        <w:rPr>
          <w:rFonts w:ascii="Arial" w:hAnsi="Arial" w:cs="Arial"/>
          <w:b/>
          <w:sz w:val="20"/>
          <w:szCs w:val="20"/>
          <w:lang w:val="en-US"/>
        </w:rPr>
        <w:t xml:space="preserve">purpose of </w:t>
      </w:r>
      <w:r>
        <w:rPr>
          <w:rFonts w:ascii="Arial" w:hAnsi="Arial" w:cs="Arial"/>
          <w:b/>
          <w:sz w:val="20"/>
          <w:szCs w:val="20"/>
          <w:lang w:val="en-US"/>
        </w:rPr>
        <w:t xml:space="preserve">the </w:t>
      </w:r>
      <w:r w:rsidRPr="003579D2">
        <w:rPr>
          <w:rFonts w:ascii="Arial" w:hAnsi="Arial" w:cs="Arial"/>
          <w:b/>
          <w:sz w:val="20"/>
          <w:szCs w:val="20"/>
          <w:lang w:val="en-US"/>
        </w:rPr>
        <w:t>‘Summarized information for publication’?</w:t>
      </w:r>
      <w:bookmarkEnd w:id="12"/>
    </w:p>
    <w:p w14:paraId="40B37144" w14:textId="2A297F1E" w:rsidR="001A2067" w:rsidRPr="00982472" w:rsidRDefault="001A2067" w:rsidP="000F594A">
      <w:pPr>
        <w:spacing w:before="120" w:after="240"/>
        <w:ind w:left="720"/>
        <w:jc w:val="both"/>
        <w:rPr>
          <w:rFonts w:ascii="Arial" w:hAnsi="Arial" w:cs="Arial"/>
          <w:b/>
          <w:sz w:val="20"/>
          <w:szCs w:val="20"/>
          <w:lang w:val="en-US"/>
        </w:rPr>
      </w:pPr>
      <w:r w:rsidRPr="003579D2">
        <w:rPr>
          <w:rFonts w:ascii="Arial" w:hAnsi="Arial" w:cs="Arial"/>
          <w:sz w:val="20"/>
          <w:szCs w:val="20"/>
          <w:lang w:val="en-US"/>
        </w:rPr>
        <w:t xml:space="preserve">The idea of the document ‘Summarized information for publication’ is to have a proposal made by the applicant so that there is clarity from the start of what will be made public at the end of the procedure regarding the </w:t>
      </w:r>
      <w:r>
        <w:rPr>
          <w:rFonts w:ascii="Arial" w:hAnsi="Arial" w:cs="Arial"/>
          <w:sz w:val="20"/>
          <w:szCs w:val="20"/>
          <w:lang w:val="en-US"/>
        </w:rPr>
        <w:t>conditions</w:t>
      </w:r>
      <w:r w:rsidRPr="003579D2">
        <w:rPr>
          <w:rFonts w:ascii="Arial" w:hAnsi="Arial" w:cs="Arial"/>
          <w:sz w:val="20"/>
          <w:szCs w:val="20"/>
          <w:lang w:val="en-US"/>
        </w:rPr>
        <w:t xml:space="preserve"> of the program. Therefore it should be written</w:t>
      </w:r>
      <w:r>
        <w:rPr>
          <w:rFonts w:ascii="Arial" w:hAnsi="Arial" w:cs="Arial"/>
          <w:sz w:val="20"/>
          <w:szCs w:val="20"/>
          <w:lang w:val="en-US"/>
        </w:rPr>
        <w:t xml:space="preserve"> with the patient in mind, i.e.</w:t>
      </w:r>
      <w:r w:rsidRPr="003579D2">
        <w:rPr>
          <w:rFonts w:ascii="Arial" w:hAnsi="Arial" w:cs="Arial"/>
          <w:sz w:val="20"/>
          <w:szCs w:val="20"/>
          <w:lang w:val="en-US"/>
        </w:rPr>
        <w:t xml:space="preserve"> in a user friendly way, suitable for a layman to understand. </w:t>
      </w:r>
      <w:r w:rsidRPr="00982472">
        <w:rPr>
          <w:rFonts w:ascii="Arial" w:hAnsi="Arial" w:cs="Arial"/>
          <w:sz w:val="20"/>
          <w:szCs w:val="20"/>
          <w:lang w:val="en-US"/>
        </w:rPr>
        <w:t xml:space="preserve">The </w:t>
      </w:r>
      <w:hyperlink r:id="rId11" w:history="1">
        <w:r w:rsidRPr="001C7454">
          <w:rPr>
            <w:rStyle w:val="Hyperlink"/>
            <w:rFonts w:ascii="Arial" w:hAnsi="Arial" w:cs="Arial"/>
            <w:sz w:val="20"/>
            <w:szCs w:val="20"/>
            <w:lang w:val="en-US"/>
          </w:rPr>
          <w:t>template</w:t>
        </w:r>
      </w:hyperlink>
      <w:r w:rsidRPr="00982472">
        <w:rPr>
          <w:rFonts w:ascii="Arial" w:hAnsi="Arial" w:cs="Arial"/>
          <w:sz w:val="20"/>
          <w:szCs w:val="20"/>
          <w:lang w:val="en-US"/>
        </w:rPr>
        <w:t xml:space="preserve"> of the Summarized information for publication is available on our website.</w:t>
      </w:r>
    </w:p>
    <w:p w14:paraId="3F0D0A21" w14:textId="7D25A165" w:rsidR="001A2067" w:rsidRDefault="001A2067" w:rsidP="001C7454">
      <w:pPr>
        <w:pStyle w:val="Lijstalinea"/>
        <w:numPr>
          <w:ilvl w:val="0"/>
          <w:numId w:val="1"/>
        </w:numPr>
        <w:spacing w:before="120" w:after="120"/>
        <w:ind w:left="714" w:hanging="357"/>
        <w:jc w:val="both"/>
        <w:rPr>
          <w:rFonts w:ascii="Arial" w:hAnsi="Arial" w:cs="Arial"/>
          <w:b/>
          <w:sz w:val="20"/>
          <w:szCs w:val="20"/>
          <w:lang w:val="en-US"/>
        </w:rPr>
      </w:pPr>
      <w:r w:rsidRPr="00582E02">
        <w:rPr>
          <w:rFonts w:ascii="Arial" w:hAnsi="Arial" w:cs="Arial"/>
          <w:b/>
          <w:sz w:val="20"/>
          <w:szCs w:val="20"/>
          <w:lang w:val="en-US"/>
        </w:rPr>
        <w:t xml:space="preserve"> </w:t>
      </w:r>
      <w:bookmarkStart w:id="13" w:name="_Ref1466326"/>
      <w:r w:rsidRPr="006F64AB">
        <w:rPr>
          <w:rFonts w:ascii="Arial" w:hAnsi="Arial" w:cs="Arial"/>
          <w:b/>
          <w:sz w:val="20"/>
          <w:szCs w:val="20"/>
          <w:lang w:val="en-US"/>
        </w:rPr>
        <w:t xml:space="preserve">What should be done if the shelf life of the medicinal product used in </w:t>
      </w:r>
      <w:r w:rsidR="00920E85">
        <w:rPr>
          <w:rFonts w:ascii="Arial" w:hAnsi="Arial" w:cs="Arial"/>
          <w:b/>
          <w:sz w:val="20"/>
          <w:szCs w:val="20"/>
          <w:lang w:val="en-US"/>
        </w:rPr>
        <w:t>a</w:t>
      </w:r>
      <w:r w:rsidR="00920E85" w:rsidRPr="006F64AB">
        <w:rPr>
          <w:rFonts w:ascii="Arial" w:hAnsi="Arial" w:cs="Arial"/>
          <w:b/>
          <w:sz w:val="20"/>
          <w:szCs w:val="20"/>
          <w:lang w:val="en-US"/>
        </w:rPr>
        <w:t xml:space="preserve"> </w:t>
      </w:r>
      <w:r w:rsidR="000B1574">
        <w:rPr>
          <w:rFonts w:ascii="Arial" w:hAnsi="Arial" w:cs="Arial"/>
          <w:b/>
          <w:sz w:val="20"/>
          <w:szCs w:val="20"/>
          <w:lang w:val="en-US"/>
        </w:rPr>
        <w:t>C</w:t>
      </w:r>
      <w:r w:rsidR="00920E85">
        <w:rPr>
          <w:rFonts w:ascii="Arial" w:hAnsi="Arial" w:cs="Arial"/>
          <w:b/>
          <w:sz w:val="20"/>
          <w:szCs w:val="20"/>
          <w:lang w:val="en-US"/>
        </w:rPr>
        <w:t xml:space="preserve">UP or </w:t>
      </w:r>
      <w:r w:rsidR="000B1574">
        <w:rPr>
          <w:rFonts w:ascii="Arial" w:hAnsi="Arial" w:cs="Arial"/>
          <w:b/>
          <w:sz w:val="20"/>
          <w:szCs w:val="20"/>
          <w:lang w:val="en-US"/>
        </w:rPr>
        <w:t>MNP</w:t>
      </w:r>
      <w:r w:rsidRPr="006F64AB">
        <w:rPr>
          <w:rFonts w:ascii="Arial" w:hAnsi="Arial" w:cs="Arial"/>
          <w:b/>
          <w:sz w:val="20"/>
          <w:szCs w:val="20"/>
          <w:lang w:val="en-US"/>
        </w:rPr>
        <w:t xml:space="preserve"> is different for the commercial product?</w:t>
      </w:r>
      <w:bookmarkEnd w:id="13"/>
    </w:p>
    <w:p w14:paraId="724A7851" w14:textId="3292A9D3" w:rsidR="001A2067" w:rsidRDefault="001A2067" w:rsidP="001A2067">
      <w:pPr>
        <w:spacing w:before="120" w:after="240"/>
        <w:ind w:left="720"/>
        <w:jc w:val="both"/>
        <w:rPr>
          <w:rFonts w:ascii="Arial" w:hAnsi="Arial" w:cs="Arial"/>
          <w:sz w:val="20"/>
          <w:szCs w:val="20"/>
          <w:lang w:val="en-US"/>
        </w:rPr>
      </w:pPr>
      <w:r w:rsidRPr="006F64AB">
        <w:rPr>
          <w:rFonts w:ascii="Arial" w:hAnsi="Arial" w:cs="Arial"/>
          <w:sz w:val="20"/>
          <w:szCs w:val="20"/>
          <w:lang w:val="en-US"/>
        </w:rPr>
        <w:t>The IMPD for the compassionate use product containing the stability-extension protocol should be provided to support its shelf life</w:t>
      </w:r>
      <w:r w:rsidRPr="006D448C">
        <w:rPr>
          <w:rFonts w:ascii="Arial" w:hAnsi="Arial" w:cs="Arial"/>
          <w:sz w:val="20"/>
          <w:szCs w:val="20"/>
          <w:lang w:val="en-US"/>
        </w:rPr>
        <w:t>.</w:t>
      </w:r>
    </w:p>
    <w:p w14:paraId="664C22C2" w14:textId="77777777" w:rsidR="001A2067" w:rsidRPr="00587079" w:rsidRDefault="001A2067" w:rsidP="00587079">
      <w:pPr>
        <w:pStyle w:val="Kop1"/>
        <w:numPr>
          <w:ilvl w:val="0"/>
          <w:numId w:val="2"/>
        </w:numPr>
        <w:spacing w:before="360" w:after="240"/>
        <w:ind w:left="567" w:hanging="425"/>
        <w:jc w:val="both"/>
        <w:rPr>
          <w:rStyle w:val="Zwaar"/>
          <w:color w:val="auto"/>
          <w:u w:val="single"/>
        </w:rPr>
      </w:pPr>
      <w:bookmarkStart w:id="14" w:name="_Ref1466331"/>
      <w:r w:rsidRPr="00587079">
        <w:rPr>
          <w:rStyle w:val="Zwaar"/>
          <w:rFonts w:ascii="Arial" w:hAnsi="Arial" w:cs="Arial"/>
          <w:b/>
          <w:color w:val="auto"/>
          <w:sz w:val="24"/>
          <w:szCs w:val="24"/>
          <w:u w:val="single"/>
          <w:lang w:val="en-US"/>
        </w:rPr>
        <w:t>Labeling, distribution and delivery</w:t>
      </w:r>
      <w:bookmarkEnd w:id="14"/>
    </w:p>
    <w:p w14:paraId="11DE5681" w14:textId="77777777" w:rsidR="001A2067" w:rsidRPr="007D0E69" w:rsidRDefault="001A2067" w:rsidP="007D0E69">
      <w:pPr>
        <w:pStyle w:val="Lijstalinea"/>
        <w:numPr>
          <w:ilvl w:val="0"/>
          <w:numId w:val="1"/>
        </w:numPr>
        <w:spacing w:before="120" w:after="120"/>
        <w:ind w:left="714" w:hanging="357"/>
        <w:jc w:val="both"/>
        <w:rPr>
          <w:rFonts w:ascii="Arial" w:hAnsi="Arial" w:cs="Arial"/>
          <w:sz w:val="20"/>
          <w:szCs w:val="20"/>
          <w:lang w:val="en-US"/>
        </w:rPr>
      </w:pPr>
      <w:bookmarkStart w:id="15" w:name="_Ref1466332"/>
      <w:r w:rsidRPr="007D0E69">
        <w:rPr>
          <w:rFonts w:ascii="Arial" w:hAnsi="Arial" w:cs="Arial"/>
          <w:b/>
          <w:sz w:val="20"/>
          <w:szCs w:val="20"/>
          <w:lang w:val="en-US"/>
        </w:rPr>
        <w:t>What should be the labeling for the medicinal product used in the MNP if there is not yet a Belgian packaging available?</w:t>
      </w:r>
      <w:bookmarkEnd w:id="15"/>
      <w:r w:rsidRPr="007D0E69">
        <w:rPr>
          <w:rFonts w:ascii="Arial" w:hAnsi="Arial" w:cs="Arial"/>
          <w:b/>
          <w:sz w:val="20"/>
          <w:szCs w:val="20"/>
          <w:lang w:val="en-US"/>
        </w:rPr>
        <w:t xml:space="preserve"> </w:t>
      </w:r>
    </w:p>
    <w:p w14:paraId="48520B5B" w14:textId="1F975AD1" w:rsidR="006659BF" w:rsidRPr="004952DB" w:rsidRDefault="001A2067" w:rsidP="00986492">
      <w:pPr>
        <w:spacing w:after="240"/>
        <w:ind w:left="709"/>
        <w:jc w:val="both"/>
        <w:rPr>
          <w:rFonts w:ascii="Arial" w:hAnsi="Arial" w:cs="Arial"/>
          <w:sz w:val="20"/>
          <w:szCs w:val="20"/>
          <w:lang w:val="en-US"/>
        </w:rPr>
      </w:pPr>
      <w:r w:rsidRPr="00986492">
        <w:rPr>
          <w:rFonts w:ascii="Arial" w:hAnsi="Arial" w:cs="Arial"/>
          <w:sz w:val="20"/>
          <w:szCs w:val="20"/>
          <w:lang w:val="en-US"/>
        </w:rPr>
        <w:t>In case the product is not yet comm</w:t>
      </w:r>
      <w:r w:rsidRPr="006659BF">
        <w:rPr>
          <w:rFonts w:ascii="Arial" w:hAnsi="Arial" w:cs="Arial"/>
          <w:sz w:val="20"/>
          <w:szCs w:val="20"/>
          <w:lang w:val="en-US"/>
        </w:rPr>
        <w:t>ercially available in Belgium (no Belgian packs available) the label of the medication has to be conform with the Annex 13 of GMP Volume 4. In this last case, the requirement “for clinical trial use only” should be replaced by “MNP – cannot be sold”.</w:t>
      </w:r>
      <w:r w:rsidR="006659BF" w:rsidRPr="006659BF">
        <w:rPr>
          <w:rFonts w:ascii="Arial" w:hAnsi="Arial" w:cs="Arial"/>
          <w:sz w:val="20"/>
          <w:szCs w:val="20"/>
          <w:lang w:val="en-US"/>
        </w:rPr>
        <w:t xml:space="preserve"> </w:t>
      </w:r>
      <w:r w:rsidR="006659BF" w:rsidRPr="004952DB">
        <w:rPr>
          <w:rFonts w:ascii="Arial" w:hAnsi="Arial" w:cs="Arial"/>
          <w:sz w:val="20"/>
          <w:szCs w:val="20"/>
          <w:lang w:val="en-US"/>
        </w:rPr>
        <w:t xml:space="preserve">A labeling derogation (English labeling) is possible if patient does </w:t>
      </w:r>
      <w:r w:rsidR="006659BF">
        <w:rPr>
          <w:rFonts w:ascii="Arial" w:hAnsi="Arial" w:cs="Arial"/>
          <w:sz w:val="20"/>
          <w:szCs w:val="20"/>
          <w:lang w:val="en-US"/>
        </w:rPr>
        <w:t>not take the medication at home and</w:t>
      </w:r>
      <w:r w:rsidR="006659BF" w:rsidRPr="004952DB">
        <w:rPr>
          <w:rFonts w:ascii="Arial" w:hAnsi="Arial" w:cs="Arial"/>
          <w:sz w:val="20"/>
          <w:szCs w:val="20"/>
          <w:lang w:val="en-US"/>
        </w:rPr>
        <w:t xml:space="preserve"> if </w:t>
      </w:r>
      <w:r w:rsidR="006659BF" w:rsidRPr="006659BF">
        <w:rPr>
          <w:rFonts w:ascii="Arial" w:hAnsi="Arial" w:cs="Arial"/>
          <w:sz w:val="20"/>
          <w:szCs w:val="20"/>
          <w:lang w:val="en-US"/>
        </w:rPr>
        <w:t>the hospital staff that</w:t>
      </w:r>
      <w:r w:rsidR="006659BF" w:rsidRPr="004952DB">
        <w:rPr>
          <w:rFonts w:ascii="Arial" w:hAnsi="Arial" w:cs="Arial"/>
          <w:sz w:val="20"/>
          <w:szCs w:val="20"/>
          <w:lang w:val="en-US"/>
        </w:rPr>
        <w:t xml:space="preserve"> is in contact with the product understands the English language. If the patients takes the medicinal products home, the (hospital) pharmacist can stick labels in the 3 national languages. </w:t>
      </w:r>
      <w:r w:rsidR="006659BF">
        <w:rPr>
          <w:rFonts w:ascii="Arial" w:hAnsi="Arial" w:cs="Arial"/>
          <w:sz w:val="20"/>
          <w:szCs w:val="20"/>
          <w:lang w:val="en-US"/>
        </w:rPr>
        <w:t>These derogations should be notified in the cover letter of the application.</w:t>
      </w:r>
    </w:p>
    <w:p w14:paraId="0E1BE7DC" w14:textId="36F8D678" w:rsidR="001A2067" w:rsidRPr="003579D2" w:rsidRDefault="001A2067" w:rsidP="001A2067">
      <w:pPr>
        <w:pStyle w:val="Lijstalinea"/>
        <w:numPr>
          <w:ilvl w:val="0"/>
          <w:numId w:val="1"/>
        </w:numPr>
        <w:spacing w:after="120"/>
        <w:ind w:left="714" w:hanging="357"/>
        <w:rPr>
          <w:rFonts w:ascii="Arial" w:hAnsi="Arial" w:cs="Arial"/>
          <w:b/>
          <w:sz w:val="20"/>
          <w:szCs w:val="20"/>
          <w:lang w:val="en-GB"/>
        </w:rPr>
      </w:pPr>
      <w:bookmarkStart w:id="16" w:name="_Ref1466333"/>
      <w:r w:rsidRPr="003579D2">
        <w:rPr>
          <w:rFonts w:ascii="Arial" w:hAnsi="Arial" w:cs="Arial"/>
          <w:b/>
          <w:sz w:val="20"/>
          <w:szCs w:val="20"/>
          <w:lang w:val="en-GB"/>
        </w:rPr>
        <w:t>Do medicinal products used in a</w:t>
      </w:r>
      <w:r w:rsidR="000B1574">
        <w:rPr>
          <w:rFonts w:ascii="Arial" w:hAnsi="Arial" w:cs="Arial"/>
          <w:b/>
          <w:sz w:val="20"/>
          <w:szCs w:val="20"/>
          <w:lang w:val="en-GB"/>
        </w:rPr>
        <w:t xml:space="preserve"> CUP</w:t>
      </w:r>
      <w:r>
        <w:rPr>
          <w:rFonts w:ascii="Arial" w:hAnsi="Arial" w:cs="Arial"/>
          <w:b/>
          <w:sz w:val="20"/>
          <w:szCs w:val="20"/>
          <w:lang w:val="en-GB"/>
        </w:rPr>
        <w:t>, need to be released by a Q</w:t>
      </w:r>
      <w:r w:rsidRPr="003579D2">
        <w:rPr>
          <w:rFonts w:ascii="Arial" w:hAnsi="Arial" w:cs="Arial"/>
          <w:b/>
          <w:sz w:val="20"/>
          <w:szCs w:val="20"/>
          <w:lang w:val="en-GB"/>
        </w:rPr>
        <w:t>ualified Person prior to be used?</w:t>
      </w:r>
      <w:bookmarkEnd w:id="16"/>
    </w:p>
    <w:p w14:paraId="5F9A8EFA" w14:textId="655F504B" w:rsidR="001A2067" w:rsidRDefault="001A2067" w:rsidP="00680F08">
      <w:pPr>
        <w:pStyle w:val="Lijstalinea"/>
        <w:spacing w:after="240"/>
        <w:jc w:val="both"/>
        <w:rPr>
          <w:rFonts w:ascii="Arial" w:hAnsi="Arial" w:cs="Arial"/>
          <w:sz w:val="20"/>
          <w:szCs w:val="20"/>
          <w:lang w:val="en-US"/>
        </w:rPr>
      </w:pPr>
      <w:r>
        <w:rPr>
          <w:rFonts w:ascii="Arial" w:hAnsi="Arial" w:cs="Arial"/>
          <w:sz w:val="20"/>
          <w:szCs w:val="20"/>
          <w:lang w:val="en-US"/>
        </w:rPr>
        <w:lastRenderedPageBreak/>
        <w:t>Yes, a release by a Qualified P</w:t>
      </w:r>
      <w:r w:rsidRPr="003579D2">
        <w:rPr>
          <w:rFonts w:ascii="Arial" w:hAnsi="Arial" w:cs="Arial"/>
          <w:sz w:val="20"/>
          <w:szCs w:val="20"/>
          <w:lang w:val="en-US"/>
        </w:rPr>
        <w:t xml:space="preserve">erson is always needed, regardless of the status of the medicinal product. The company that performs the release has to possess a </w:t>
      </w:r>
      <w:r>
        <w:rPr>
          <w:rFonts w:ascii="Arial" w:hAnsi="Arial" w:cs="Arial"/>
          <w:sz w:val="20"/>
          <w:szCs w:val="20"/>
          <w:lang w:val="en-US"/>
        </w:rPr>
        <w:t xml:space="preserve">European </w:t>
      </w:r>
      <w:r w:rsidRPr="003579D2">
        <w:rPr>
          <w:rFonts w:ascii="Arial" w:hAnsi="Arial" w:cs="Arial"/>
          <w:sz w:val="20"/>
          <w:szCs w:val="20"/>
          <w:lang w:val="en-US"/>
        </w:rPr>
        <w:t xml:space="preserve">manufacturing </w:t>
      </w:r>
      <w:r w:rsidR="006322F4">
        <w:rPr>
          <w:rFonts w:ascii="Arial" w:hAnsi="Arial" w:cs="Arial"/>
          <w:sz w:val="20"/>
          <w:szCs w:val="20"/>
          <w:lang w:val="en-US"/>
        </w:rPr>
        <w:t xml:space="preserve">and importation </w:t>
      </w:r>
      <w:r w:rsidRPr="003579D2">
        <w:rPr>
          <w:rFonts w:ascii="Arial" w:hAnsi="Arial" w:cs="Arial"/>
          <w:sz w:val="20"/>
          <w:szCs w:val="20"/>
          <w:lang w:val="en-US"/>
        </w:rPr>
        <w:t>authorization</w:t>
      </w:r>
      <w:r w:rsidR="006322F4">
        <w:rPr>
          <w:rFonts w:ascii="Arial" w:hAnsi="Arial" w:cs="Arial"/>
          <w:sz w:val="20"/>
          <w:szCs w:val="20"/>
          <w:lang w:val="en-US"/>
        </w:rPr>
        <w:t xml:space="preserve"> (MIA)</w:t>
      </w:r>
      <w:r w:rsidRPr="003579D2">
        <w:rPr>
          <w:rFonts w:ascii="Arial" w:hAnsi="Arial" w:cs="Arial"/>
          <w:sz w:val="20"/>
          <w:szCs w:val="20"/>
          <w:lang w:val="en-US"/>
        </w:rPr>
        <w:t>.</w:t>
      </w:r>
    </w:p>
    <w:p w14:paraId="14984CA1" w14:textId="77777777" w:rsidR="00BF4DC8" w:rsidRPr="003579D2" w:rsidRDefault="00BF4DC8" w:rsidP="00680F08">
      <w:pPr>
        <w:pStyle w:val="Lijstalinea"/>
        <w:spacing w:after="240"/>
        <w:jc w:val="both"/>
        <w:rPr>
          <w:rFonts w:ascii="Arial" w:hAnsi="Arial" w:cs="Arial"/>
          <w:sz w:val="20"/>
          <w:szCs w:val="20"/>
          <w:lang w:val="en-US"/>
        </w:rPr>
      </w:pPr>
    </w:p>
    <w:p w14:paraId="476C0588" w14:textId="77777777" w:rsidR="001A2067" w:rsidRPr="003579D2" w:rsidRDefault="001A2067" w:rsidP="000F594A">
      <w:pPr>
        <w:pStyle w:val="Lijstalinea"/>
        <w:numPr>
          <w:ilvl w:val="0"/>
          <w:numId w:val="1"/>
        </w:numPr>
        <w:spacing w:after="120"/>
        <w:ind w:left="714" w:hanging="357"/>
        <w:jc w:val="both"/>
        <w:rPr>
          <w:rFonts w:ascii="Arial" w:hAnsi="Arial" w:cs="Arial"/>
          <w:b/>
          <w:sz w:val="20"/>
          <w:szCs w:val="20"/>
          <w:lang w:val="en-GB"/>
        </w:rPr>
      </w:pPr>
      <w:bookmarkStart w:id="17" w:name="_Ref1466335"/>
      <w:r w:rsidRPr="003579D2">
        <w:rPr>
          <w:rFonts w:ascii="Arial" w:hAnsi="Arial" w:cs="Arial"/>
          <w:b/>
          <w:sz w:val="20"/>
          <w:szCs w:val="20"/>
          <w:lang w:val="en-GB"/>
        </w:rPr>
        <w:t>On what basis can a (hospital) pharmacist deliver a medicinal product for unmet medical need?</w:t>
      </w:r>
      <w:bookmarkEnd w:id="17"/>
      <w:r w:rsidRPr="003579D2">
        <w:rPr>
          <w:rFonts w:ascii="Arial" w:hAnsi="Arial" w:cs="Arial"/>
          <w:b/>
          <w:sz w:val="20"/>
          <w:szCs w:val="20"/>
          <w:lang w:val="en-GB"/>
        </w:rPr>
        <w:t xml:space="preserve"> </w:t>
      </w:r>
    </w:p>
    <w:p w14:paraId="161CFDC9" w14:textId="62304169" w:rsidR="001A2067" w:rsidRDefault="00461B72" w:rsidP="008E2D5F">
      <w:pPr>
        <w:pStyle w:val="Lijstalinea"/>
        <w:spacing w:after="240"/>
        <w:ind w:left="709"/>
        <w:jc w:val="both"/>
        <w:rPr>
          <w:rFonts w:ascii="Arial" w:hAnsi="Arial" w:cs="Arial"/>
          <w:sz w:val="20"/>
          <w:szCs w:val="20"/>
          <w:lang w:val="en-US"/>
        </w:rPr>
      </w:pPr>
      <w:r>
        <w:rPr>
          <w:rFonts w:ascii="Arial" w:hAnsi="Arial" w:cs="Arial"/>
          <w:sz w:val="20"/>
          <w:szCs w:val="20"/>
          <w:lang w:val="en-US"/>
        </w:rPr>
        <w:t>Although a common prescription is not necessary, i</w:t>
      </w:r>
      <w:r w:rsidR="001A2067" w:rsidRPr="003579D2">
        <w:rPr>
          <w:rFonts w:ascii="Arial" w:hAnsi="Arial" w:cs="Arial"/>
          <w:sz w:val="20"/>
          <w:szCs w:val="20"/>
          <w:lang w:val="en-US"/>
        </w:rPr>
        <w:t>t is highly recommended to use a form for obtaining the medicinal product, completed by the treating physician with the coordinates of the patient.</w:t>
      </w:r>
      <w:r w:rsidR="001A2067">
        <w:rPr>
          <w:rFonts w:ascii="Arial" w:hAnsi="Arial" w:cs="Arial"/>
          <w:sz w:val="20"/>
          <w:szCs w:val="20"/>
          <w:lang w:val="en-US"/>
        </w:rPr>
        <w:t xml:space="preserve"> </w:t>
      </w:r>
    </w:p>
    <w:p w14:paraId="2355CAD1" w14:textId="5C171FDF" w:rsidR="00CF3674" w:rsidRPr="00CF3674" w:rsidRDefault="00CF3674" w:rsidP="00CF3674">
      <w:pPr>
        <w:pStyle w:val="Lijstalinea"/>
        <w:numPr>
          <w:ilvl w:val="0"/>
          <w:numId w:val="1"/>
        </w:numPr>
        <w:spacing w:after="120"/>
        <w:ind w:left="714" w:hanging="357"/>
        <w:jc w:val="both"/>
        <w:rPr>
          <w:rFonts w:ascii="Arial" w:hAnsi="Arial" w:cs="Arial"/>
          <w:sz w:val="20"/>
          <w:szCs w:val="20"/>
          <w:lang w:val="en-US"/>
        </w:rPr>
      </w:pPr>
      <w:r w:rsidRPr="00CF3674">
        <w:rPr>
          <w:rFonts w:ascii="Arial" w:hAnsi="Arial" w:cs="Arial"/>
          <w:b/>
          <w:sz w:val="20"/>
          <w:szCs w:val="20"/>
          <w:lang w:val="en-GB"/>
        </w:rPr>
        <w:t xml:space="preserve">In case a product used in a </w:t>
      </w:r>
      <w:r w:rsidR="000B1574">
        <w:rPr>
          <w:rFonts w:ascii="Arial" w:hAnsi="Arial" w:cs="Arial"/>
          <w:b/>
          <w:sz w:val="20"/>
          <w:szCs w:val="20"/>
          <w:lang w:val="en-GB"/>
        </w:rPr>
        <w:t>CUP or MNP</w:t>
      </w:r>
      <w:r w:rsidRPr="00CF3674">
        <w:rPr>
          <w:rFonts w:ascii="Arial" w:hAnsi="Arial" w:cs="Arial"/>
          <w:b/>
          <w:sz w:val="20"/>
          <w:szCs w:val="20"/>
          <w:lang w:val="en-GB"/>
        </w:rPr>
        <w:t xml:space="preserve"> is currently QP released in the UK, </w:t>
      </w:r>
      <w:r w:rsidR="00154B0D">
        <w:rPr>
          <w:rFonts w:ascii="Arial" w:hAnsi="Arial" w:cs="Arial"/>
          <w:b/>
          <w:sz w:val="20"/>
          <w:szCs w:val="20"/>
          <w:lang w:val="en-GB"/>
        </w:rPr>
        <w:t xml:space="preserve">is </w:t>
      </w:r>
      <w:r w:rsidRPr="00CF3674">
        <w:rPr>
          <w:rFonts w:ascii="Arial" w:hAnsi="Arial" w:cs="Arial"/>
          <w:b/>
          <w:sz w:val="20"/>
          <w:szCs w:val="20"/>
          <w:lang w:val="en-GB"/>
        </w:rPr>
        <w:t>a EU QP release site required</w:t>
      </w:r>
      <w:r>
        <w:rPr>
          <w:rFonts w:ascii="Arial" w:hAnsi="Arial" w:cs="Arial"/>
          <w:b/>
          <w:sz w:val="20"/>
          <w:szCs w:val="20"/>
          <w:lang w:val="en-GB"/>
        </w:rPr>
        <w:t>?</w:t>
      </w:r>
      <w:r w:rsidRPr="00A44A5F">
        <w:rPr>
          <w:color w:val="1F497D"/>
          <w:lang w:val="en-GB"/>
        </w:rPr>
        <w:t xml:space="preserve"> </w:t>
      </w:r>
    </w:p>
    <w:p w14:paraId="4E260224" w14:textId="252F8062" w:rsidR="00CF3674" w:rsidRDefault="00CF3674" w:rsidP="00CF3674">
      <w:pPr>
        <w:pStyle w:val="Lijstalinea"/>
        <w:spacing w:after="240"/>
        <w:ind w:left="709"/>
        <w:jc w:val="both"/>
        <w:rPr>
          <w:rFonts w:ascii="Arial" w:hAnsi="Arial" w:cs="Arial"/>
          <w:sz w:val="20"/>
          <w:szCs w:val="20"/>
          <w:lang w:val="en-US"/>
        </w:rPr>
      </w:pPr>
      <w:r>
        <w:rPr>
          <w:rFonts w:ascii="Arial" w:hAnsi="Arial" w:cs="Arial"/>
          <w:sz w:val="20"/>
          <w:szCs w:val="20"/>
          <w:lang w:val="en-US"/>
        </w:rPr>
        <w:t>Yes</w:t>
      </w:r>
      <w:r w:rsidR="006322F4">
        <w:rPr>
          <w:rFonts w:ascii="Arial" w:hAnsi="Arial" w:cs="Arial"/>
          <w:sz w:val="20"/>
          <w:szCs w:val="20"/>
          <w:lang w:val="en-US"/>
        </w:rPr>
        <w:t xml:space="preserve"> the UK </w:t>
      </w:r>
      <w:r w:rsidR="00154B0D">
        <w:rPr>
          <w:rFonts w:ascii="Arial" w:hAnsi="Arial" w:cs="Arial"/>
          <w:sz w:val="20"/>
          <w:szCs w:val="20"/>
          <w:lang w:val="en-US"/>
        </w:rPr>
        <w:t>is</w:t>
      </w:r>
      <w:r w:rsidR="006322F4">
        <w:rPr>
          <w:rFonts w:ascii="Arial" w:hAnsi="Arial" w:cs="Arial"/>
          <w:sz w:val="20"/>
          <w:szCs w:val="20"/>
          <w:lang w:val="en-US"/>
        </w:rPr>
        <w:t xml:space="preserve"> </w:t>
      </w:r>
      <w:r w:rsidR="000A30CB">
        <w:rPr>
          <w:rFonts w:ascii="Arial" w:hAnsi="Arial" w:cs="Arial"/>
          <w:sz w:val="20"/>
          <w:szCs w:val="20"/>
          <w:lang w:val="en-US"/>
        </w:rPr>
        <w:t xml:space="preserve">now </w:t>
      </w:r>
      <w:r w:rsidR="006322F4">
        <w:rPr>
          <w:rFonts w:ascii="Arial" w:hAnsi="Arial" w:cs="Arial"/>
          <w:sz w:val="20"/>
          <w:szCs w:val="20"/>
          <w:lang w:val="en-US"/>
        </w:rPr>
        <w:t>considered a third-party country</w:t>
      </w:r>
      <w:r>
        <w:rPr>
          <w:rFonts w:ascii="Arial" w:hAnsi="Arial" w:cs="Arial"/>
          <w:sz w:val="20"/>
          <w:szCs w:val="20"/>
          <w:lang w:val="en-US"/>
        </w:rPr>
        <w:t xml:space="preserve">. </w:t>
      </w:r>
      <w:r w:rsidRPr="00CF3674">
        <w:rPr>
          <w:rFonts w:ascii="Arial" w:hAnsi="Arial" w:cs="Arial"/>
          <w:sz w:val="20"/>
          <w:szCs w:val="20"/>
          <w:lang w:val="en-US"/>
        </w:rPr>
        <w:t xml:space="preserve">If regarding this change, documents submitted in the scope of </w:t>
      </w:r>
      <w:r w:rsidR="000A30CB">
        <w:rPr>
          <w:rFonts w:ascii="Arial" w:hAnsi="Arial" w:cs="Arial"/>
          <w:sz w:val="20"/>
          <w:szCs w:val="20"/>
          <w:lang w:val="en-US"/>
        </w:rPr>
        <w:t>a</w:t>
      </w:r>
      <w:r w:rsidR="000A30CB" w:rsidRPr="00CF3674">
        <w:rPr>
          <w:rFonts w:ascii="Arial" w:hAnsi="Arial" w:cs="Arial"/>
          <w:sz w:val="20"/>
          <w:szCs w:val="20"/>
          <w:lang w:val="en-US"/>
        </w:rPr>
        <w:t xml:space="preserve"> </w:t>
      </w:r>
      <w:r w:rsidRPr="00CF3674">
        <w:rPr>
          <w:rFonts w:ascii="Arial" w:hAnsi="Arial" w:cs="Arial"/>
          <w:sz w:val="20"/>
          <w:szCs w:val="20"/>
          <w:lang w:val="en-US"/>
        </w:rPr>
        <w:t>CUP</w:t>
      </w:r>
      <w:r w:rsidR="000A30CB">
        <w:rPr>
          <w:rFonts w:ascii="Arial" w:hAnsi="Arial" w:cs="Arial"/>
          <w:sz w:val="20"/>
          <w:szCs w:val="20"/>
          <w:lang w:val="en-US"/>
        </w:rPr>
        <w:t xml:space="preserve"> or MNP</w:t>
      </w:r>
      <w:r w:rsidRPr="00CF3674">
        <w:rPr>
          <w:rFonts w:ascii="Arial" w:hAnsi="Arial" w:cs="Arial"/>
          <w:sz w:val="20"/>
          <w:szCs w:val="20"/>
          <w:lang w:val="en-US"/>
        </w:rPr>
        <w:t xml:space="preserve"> need to be updated, this should be done by non-substantial amendment.</w:t>
      </w:r>
    </w:p>
    <w:p w14:paraId="5F98D870" w14:textId="326C619B" w:rsidR="001A2067" w:rsidRPr="00587079" w:rsidRDefault="001A2067" w:rsidP="00587079">
      <w:pPr>
        <w:pStyle w:val="Kop1"/>
        <w:numPr>
          <w:ilvl w:val="0"/>
          <w:numId w:val="2"/>
        </w:numPr>
        <w:spacing w:before="360" w:after="240"/>
        <w:ind w:left="567" w:hanging="425"/>
        <w:jc w:val="both"/>
        <w:rPr>
          <w:rStyle w:val="Zwaar"/>
          <w:rFonts w:ascii="Arial" w:hAnsi="Arial" w:cs="Arial"/>
          <w:b/>
          <w:color w:val="auto"/>
          <w:sz w:val="24"/>
          <w:szCs w:val="24"/>
          <w:u w:val="single"/>
          <w:lang w:val="en-US"/>
        </w:rPr>
      </w:pPr>
      <w:bookmarkStart w:id="18" w:name="_Ref1466336"/>
      <w:r w:rsidRPr="00BB6B70">
        <w:rPr>
          <w:rStyle w:val="Zwaar"/>
          <w:rFonts w:ascii="Arial" w:hAnsi="Arial" w:cs="Arial"/>
          <w:b/>
          <w:color w:val="auto"/>
          <w:sz w:val="24"/>
          <w:szCs w:val="24"/>
          <w:u w:val="single"/>
          <w:lang w:val="en-US"/>
        </w:rPr>
        <w:t>Ongoing programs</w:t>
      </w:r>
      <w:bookmarkEnd w:id="18"/>
    </w:p>
    <w:p w14:paraId="0CBAA1B8" w14:textId="16EA8A56" w:rsidR="00941BF0" w:rsidRPr="003579D2" w:rsidRDefault="00941BF0" w:rsidP="00941BF0">
      <w:pPr>
        <w:pStyle w:val="Lijstalinea"/>
        <w:numPr>
          <w:ilvl w:val="0"/>
          <w:numId w:val="1"/>
        </w:numPr>
        <w:spacing w:before="120" w:after="120"/>
        <w:jc w:val="both"/>
        <w:rPr>
          <w:rFonts w:ascii="Arial" w:hAnsi="Arial" w:cs="Arial"/>
          <w:b/>
          <w:sz w:val="20"/>
          <w:szCs w:val="20"/>
          <w:lang w:val="en-GB"/>
        </w:rPr>
      </w:pPr>
      <w:bookmarkStart w:id="19" w:name="_Ref1466329"/>
      <w:bookmarkStart w:id="20" w:name="_Ref1466338"/>
      <w:bookmarkStart w:id="21" w:name="_Ref1466337"/>
      <w:r w:rsidRPr="003579D2">
        <w:rPr>
          <w:rFonts w:ascii="Arial" w:hAnsi="Arial" w:cs="Arial"/>
          <w:b/>
          <w:sz w:val="20"/>
          <w:szCs w:val="20"/>
          <w:lang w:val="en-GB"/>
        </w:rPr>
        <w:t>What are the responsibilities of the actors in a CUP</w:t>
      </w:r>
      <w:r w:rsidR="00920E85">
        <w:rPr>
          <w:rFonts w:ascii="Arial" w:hAnsi="Arial" w:cs="Arial"/>
          <w:b/>
          <w:sz w:val="20"/>
          <w:szCs w:val="20"/>
          <w:lang w:val="en-GB"/>
        </w:rPr>
        <w:t xml:space="preserve"> or </w:t>
      </w:r>
      <w:r w:rsidRPr="003579D2">
        <w:rPr>
          <w:rFonts w:ascii="Arial" w:hAnsi="Arial" w:cs="Arial"/>
          <w:b/>
          <w:sz w:val="20"/>
          <w:szCs w:val="20"/>
          <w:lang w:val="en-GB"/>
        </w:rPr>
        <w:t>MNP?</w:t>
      </w:r>
      <w:bookmarkEnd w:id="19"/>
    </w:p>
    <w:tbl>
      <w:tblPr>
        <w:tblStyle w:val="Tabelraster"/>
        <w:tblW w:w="8384" w:type="dxa"/>
        <w:tblInd w:w="695" w:type="dxa"/>
        <w:tblLook w:val="04A0" w:firstRow="1" w:lastRow="0" w:firstColumn="1" w:lastColumn="0" w:noHBand="0" w:noVBand="1"/>
      </w:tblPr>
      <w:tblGrid>
        <w:gridCol w:w="4192"/>
        <w:gridCol w:w="4192"/>
      </w:tblGrid>
      <w:tr w:rsidR="00941BF0" w:rsidRPr="006322F4" w14:paraId="4349AEDB" w14:textId="77777777" w:rsidTr="00A268D7">
        <w:trPr>
          <w:trHeight w:val="200"/>
        </w:trPr>
        <w:tc>
          <w:tcPr>
            <w:tcW w:w="4192" w:type="dxa"/>
          </w:tcPr>
          <w:p w14:paraId="6EDAD633" w14:textId="1DEF439E" w:rsidR="00941BF0" w:rsidRPr="003579D2" w:rsidRDefault="00941BF0" w:rsidP="00A268D7">
            <w:pPr>
              <w:jc w:val="both"/>
              <w:rPr>
                <w:rFonts w:ascii="Arial" w:hAnsi="Arial" w:cs="Arial"/>
                <w:b/>
                <w:sz w:val="20"/>
                <w:szCs w:val="20"/>
                <w:lang w:val="en-US"/>
              </w:rPr>
            </w:pPr>
            <w:r w:rsidRPr="003579D2">
              <w:rPr>
                <w:rFonts w:ascii="Arial" w:hAnsi="Arial" w:cs="Arial"/>
                <w:b/>
                <w:sz w:val="20"/>
                <w:szCs w:val="20"/>
                <w:lang w:val="en-US"/>
              </w:rPr>
              <w:t>Actors</w:t>
            </w:r>
            <w:r>
              <w:rPr>
                <w:rFonts w:ascii="Arial" w:hAnsi="Arial" w:cs="Arial"/>
                <w:b/>
                <w:sz w:val="20"/>
                <w:szCs w:val="20"/>
                <w:lang w:val="en-US"/>
              </w:rPr>
              <w:t xml:space="preserve"> </w:t>
            </w:r>
            <w:r w:rsidR="008A1322">
              <w:rPr>
                <w:rFonts w:ascii="Arial" w:hAnsi="Arial" w:cs="Arial"/>
                <w:b/>
                <w:sz w:val="20"/>
                <w:szCs w:val="20"/>
                <w:lang w:val="en-US"/>
              </w:rPr>
              <w:t>–</w:t>
            </w:r>
            <w:r>
              <w:rPr>
                <w:rFonts w:ascii="Arial" w:hAnsi="Arial" w:cs="Arial"/>
                <w:b/>
                <w:sz w:val="20"/>
                <w:szCs w:val="20"/>
                <w:lang w:val="en-US"/>
              </w:rPr>
              <w:t xml:space="preserve"> modalities</w:t>
            </w:r>
          </w:p>
        </w:tc>
        <w:tc>
          <w:tcPr>
            <w:tcW w:w="4192" w:type="dxa"/>
          </w:tcPr>
          <w:p w14:paraId="5C5851DF" w14:textId="77777777" w:rsidR="00941BF0" w:rsidRPr="003579D2" w:rsidRDefault="00941BF0" w:rsidP="00A268D7">
            <w:pPr>
              <w:jc w:val="both"/>
              <w:rPr>
                <w:rFonts w:ascii="Arial" w:hAnsi="Arial" w:cs="Arial"/>
                <w:b/>
                <w:sz w:val="20"/>
                <w:szCs w:val="20"/>
                <w:lang w:val="en-US"/>
              </w:rPr>
            </w:pPr>
            <w:r w:rsidRPr="000F243C">
              <w:rPr>
                <w:rFonts w:ascii="Arial" w:hAnsi="Arial" w:cs="Arial"/>
                <w:b/>
                <w:sz w:val="20"/>
                <w:szCs w:val="20"/>
                <w:lang w:val="en-US"/>
              </w:rPr>
              <w:t>Responsibilities</w:t>
            </w:r>
          </w:p>
        </w:tc>
      </w:tr>
      <w:tr w:rsidR="00941BF0" w:rsidRPr="002A3542" w14:paraId="04D6D090" w14:textId="77777777" w:rsidTr="00A268D7">
        <w:trPr>
          <w:trHeight w:val="799"/>
        </w:trPr>
        <w:tc>
          <w:tcPr>
            <w:tcW w:w="4192" w:type="dxa"/>
          </w:tcPr>
          <w:p w14:paraId="7CC5CF09" w14:textId="77777777" w:rsidR="00941BF0" w:rsidRDefault="00941BF0" w:rsidP="007E235F">
            <w:pPr>
              <w:spacing w:before="120" w:after="120"/>
              <w:jc w:val="both"/>
              <w:rPr>
                <w:rFonts w:ascii="Arial" w:hAnsi="Arial" w:cs="Arial"/>
                <w:sz w:val="20"/>
                <w:szCs w:val="20"/>
                <w:lang w:val="en-US"/>
              </w:rPr>
            </w:pPr>
            <w:r w:rsidRPr="00553939">
              <w:rPr>
                <w:rFonts w:ascii="Arial" w:hAnsi="Arial" w:cs="Arial"/>
                <w:b/>
                <w:sz w:val="20"/>
                <w:szCs w:val="20"/>
                <w:lang w:val="en-US"/>
              </w:rPr>
              <w:t>Treating physician</w:t>
            </w:r>
            <w:r>
              <w:rPr>
                <w:rFonts w:ascii="Arial" w:hAnsi="Arial" w:cs="Arial"/>
                <w:sz w:val="20"/>
                <w:szCs w:val="20"/>
                <w:lang w:val="en-US"/>
              </w:rPr>
              <w:t xml:space="preserve"> </w:t>
            </w:r>
          </w:p>
          <w:p w14:paraId="4BA49769" w14:textId="77777777" w:rsidR="00941BF0" w:rsidRPr="00F21526" w:rsidRDefault="00941BF0" w:rsidP="00A268D7">
            <w:pPr>
              <w:pStyle w:val="Lijstalinea"/>
              <w:numPr>
                <w:ilvl w:val="0"/>
                <w:numId w:val="5"/>
              </w:numPr>
              <w:jc w:val="both"/>
              <w:rPr>
                <w:rFonts w:ascii="Arial" w:hAnsi="Arial" w:cs="Arial"/>
                <w:sz w:val="20"/>
                <w:szCs w:val="20"/>
                <w:lang w:val="en-US"/>
              </w:rPr>
            </w:pPr>
            <w:r w:rsidRPr="00F21526">
              <w:rPr>
                <w:rFonts w:ascii="Arial" w:hAnsi="Arial" w:cs="Arial"/>
                <w:sz w:val="20"/>
                <w:szCs w:val="20"/>
                <w:lang w:val="en-US"/>
              </w:rPr>
              <w:t xml:space="preserve">any </w:t>
            </w:r>
            <w:r>
              <w:rPr>
                <w:rFonts w:ascii="Arial" w:hAnsi="Arial" w:cs="Arial"/>
                <w:sz w:val="20"/>
                <w:szCs w:val="20"/>
                <w:lang w:val="en-US"/>
              </w:rPr>
              <w:t>Belgian</w:t>
            </w:r>
            <w:r w:rsidRPr="00F21526">
              <w:rPr>
                <w:rFonts w:ascii="Arial" w:hAnsi="Arial" w:cs="Arial"/>
                <w:sz w:val="20"/>
                <w:szCs w:val="20"/>
                <w:lang w:val="en-US"/>
              </w:rPr>
              <w:t xml:space="preserve"> physician</w:t>
            </w:r>
          </w:p>
        </w:tc>
        <w:tc>
          <w:tcPr>
            <w:tcW w:w="4192" w:type="dxa"/>
          </w:tcPr>
          <w:p w14:paraId="04517CD4" w14:textId="77777777" w:rsidR="00941BF0" w:rsidRDefault="00941BF0" w:rsidP="00A268D7">
            <w:pPr>
              <w:pStyle w:val="Lijstalinea"/>
              <w:ind w:left="360"/>
              <w:jc w:val="both"/>
              <w:rPr>
                <w:rFonts w:ascii="Arial" w:hAnsi="Arial" w:cs="Arial"/>
                <w:sz w:val="20"/>
                <w:szCs w:val="20"/>
                <w:lang w:val="en-US"/>
              </w:rPr>
            </w:pPr>
          </w:p>
          <w:p w14:paraId="3C04EBCF" w14:textId="77777777" w:rsidR="007E235F" w:rsidRDefault="007E235F" w:rsidP="00A268D7">
            <w:pPr>
              <w:pStyle w:val="Lijstalinea"/>
              <w:ind w:left="360"/>
              <w:jc w:val="both"/>
              <w:rPr>
                <w:rFonts w:ascii="Arial" w:hAnsi="Arial" w:cs="Arial"/>
                <w:sz w:val="20"/>
                <w:szCs w:val="20"/>
                <w:lang w:val="en-US"/>
              </w:rPr>
            </w:pPr>
          </w:p>
          <w:p w14:paraId="452E70C9" w14:textId="0D156FC0" w:rsidR="00941BF0" w:rsidRPr="00F21526" w:rsidRDefault="00941BF0" w:rsidP="00A268D7">
            <w:pPr>
              <w:pStyle w:val="Lijstalinea"/>
              <w:numPr>
                <w:ilvl w:val="0"/>
                <w:numId w:val="5"/>
              </w:numPr>
              <w:jc w:val="both"/>
              <w:rPr>
                <w:rFonts w:ascii="Arial" w:hAnsi="Arial" w:cs="Arial"/>
                <w:sz w:val="20"/>
                <w:szCs w:val="20"/>
                <w:lang w:val="en-US"/>
              </w:rPr>
            </w:pPr>
            <w:r w:rsidRPr="00F21526">
              <w:rPr>
                <w:rFonts w:ascii="Arial" w:hAnsi="Arial" w:cs="Arial"/>
                <w:sz w:val="20"/>
                <w:szCs w:val="20"/>
                <w:lang w:val="en-US"/>
              </w:rPr>
              <w:t xml:space="preserve">Explain the ICF and </w:t>
            </w:r>
            <w:r w:rsidR="003A6929">
              <w:rPr>
                <w:rFonts w:ascii="Arial" w:hAnsi="Arial" w:cs="Arial"/>
                <w:sz w:val="20"/>
                <w:szCs w:val="20"/>
                <w:lang w:val="en-US"/>
              </w:rPr>
              <w:t>the benefit/risk to the patient</w:t>
            </w:r>
          </w:p>
          <w:p w14:paraId="21A9A976" w14:textId="31798A4C" w:rsidR="00941BF0" w:rsidRPr="00F21526" w:rsidRDefault="00941BF0" w:rsidP="003A6929">
            <w:pPr>
              <w:pStyle w:val="Lijstalinea"/>
              <w:numPr>
                <w:ilvl w:val="0"/>
                <w:numId w:val="5"/>
              </w:numPr>
              <w:jc w:val="both"/>
              <w:rPr>
                <w:rFonts w:ascii="Arial" w:hAnsi="Arial" w:cs="Arial"/>
                <w:sz w:val="20"/>
                <w:szCs w:val="20"/>
                <w:lang w:val="en-US"/>
              </w:rPr>
            </w:pPr>
            <w:r w:rsidRPr="00F21526">
              <w:rPr>
                <w:rFonts w:ascii="Arial" w:hAnsi="Arial" w:cs="Arial"/>
                <w:sz w:val="20"/>
                <w:szCs w:val="20"/>
                <w:lang w:val="en-US"/>
              </w:rPr>
              <w:t xml:space="preserve">Send </w:t>
            </w:r>
            <w:r w:rsidR="003A6929">
              <w:rPr>
                <w:rFonts w:ascii="Arial" w:hAnsi="Arial" w:cs="Arial"/>
                <w:sz w:val="20"/>
                <w:szCs w:val="20"/>
                <w:lang w:val="en-US"/>
              </w:rPr>
              <w:t>his</w:t>
            </w:r>
            <w:r w:rsidRPr="00F21526">
              <w:rPr>
                <w:rFonts w:ascii="Arial" w:hAnsi="Arial" w:cs="Arial"/>
                <w:sz w:val="20"/>
                <w:szCs w:val="20"/>
                <w:lang w:val="en-US"/>
              </w:rPr>
              <w:t xml:space="preserve"> motivated request to the responsible physician with a signed ICF and a copy of</w:t>
            </w:r>
            <w:r w:rsidR="007E235F">
              <w:rPr>
                <w:rFonts w:ascii="Arial" w:hAnsi="Arial" w:cs="Arial"/>
                <w:sz w:val="20"/>
                <w:szCs w:val="20"/>
                <w:lang w:val="en-US"/>
              </w:rPr>
              <w:t xml:space="preserve"> the</w:t>
            </w:r>
            <w:r w:rsidRPr="00F21526">
              <w:rPr>
                <w:rFonts w:ascii="Arial" w:hAnsi="Arial" w:cs="Arial"/>
                <w:sz w:val="20"/>
                <w:szCs w:val="20"/>
                <w:lang w:val="en-US"/>
              </w:rPr>
              <w:t xml:space="preserve"> identity </w:t>
            </w:r>
            <w:r w:rsidR="007E235F">
              <w:rPr>
                <w:rFonts w:ascii="Arial" w:hAnsi="Arial" w:cs="Arial"/>
                <w:sz w:val="20"/>
                <w:szCs w:val="20"/>
                <w:lang w:val="en-US"/>
              </w:rPr>
              <w:t xml:space="preserve">card </w:t>
            </w:r>
            <w:r w:rsidR="003A6929">
              <w:rPr>
                <w:rFonts w:ascii="Arial" w:hAnsi="Arial" w:cs="Arial"/>
                <w:sz w:val="20"/>
                <w:szCs w:val="20"/>
                <w:lang w:val="en-US"/>
              </w:rPr>
              <w:t>of the patient*</w:t>
            </w:r>
          </w:p>
        </w:tc>
      </w:tr>
      <w:tr w:rsidR="00941BF0" w:rsidRPr="002A3542" w14:paraId="03CCCD60" w14:textId="77777777" w:rsidTr="00A268D7">
        <w:trPr>
          <w:trHeight w:val="609"/>
        </w:trPr>
        <w:tc>
          <w:tcPr>
            <w:tcW w:w="4192" w:type="dxa"/>
          </w:tcPr>
          <w:p w14:paraId="400BDCBC" w14:textId="77777777" w:rsidR="00941BF0" w:rsidRPr="00553939" w:rsidRDefault="00941BF0" w:rsidP="007E235F">
            <w:pPr>
              <w:spacing w:before="120" w:after="120"/>
              <w:jc w:val="both"/>
              <w:rPr>
                <w:rFonts w:ascii="Arial" w:hAnsi="Arial" w:cs="Arial"/>
                <w:b/>
                <w:sz w:val="20"/>
                <w:szCs w:val="20"/>
                <w:lang w:val="en-US"/>
              </w:rPr>
            </w:pPr>
            <w:r w:rsidRPr="00553939">
              <w:rPr>
                <w:rFonts w:ascii="Arial" w:hAnsi="Arial" w:cs="Arial"/>
                <w:b/>
                <w:sz w:val="20"/>
                <w:szCs w:val="20"/>
                <w:lang w:val="en-US"/>
              </w:rPr>
              <w:t xml:space="preserve">Responsible physician </w:t>
            </w:r>
          </w:p>
          <w:p w14:paraId="221FE985" w14:textId="11E29759" w:rsidR="00941BF0" w:rsidRPr="00F21526" w:rsidRDefault="00941BF0" w:rsidP="00A268D7">
            <w:pPr>
              <w:pStyle w:val="Lijstalinea"/>
              <w:numPr>
                <w:ilvl w:val="0"/>
                <w:numId w:val="5"/>
              </w:numPr>
              <w:jc w:val="both"/>
              <w:rPr>
                <w:rFonts w:ascii="Arial" w:hAnsi="Arial" w:cs="Arial"/>
                <w:sz w:val="20"/>
                <w:szCs w:val="20"/>
                <w:lang w:val="en-US"/>
              </w:rPr>
            </w:pPr>
            <w:r>
              <w:rPr>
                <w:rFonts w:ascii="Arial" w:hAnsi="Arial" w:cs="Arial"/>
                <w:sz w:val="20"/>
                <w:szCs w:val="20"/>
                <w:lang w:val="en-US"/>
              </w:rPr>
              <w:t>A</w:t>
            </w:r>
            <w:r w:rsidRPr="00F21526">
              <w:rPr>
                <w:rFonts w:ascii="Arial" w:hAnsi="Arial" w:cs="Arial"/>
                <w:sz w:val="20"/>
                <w:szCs w:val="20"/>
                <w:lang w:val="en-US"/>
              </w:rPr>
              <w:t xml:space="preserve"> physician understood as stipulated in the Royal Decree nr. 78</w:t>
            </w:r>
            <w:r w:rsidR="0086748E">
              <w:rPr>
                <w:rFonts w:ascii="Arial" w:hAnsi="Arial" w:cs="Arial"/>
                <w:sz w:val="20"/>
                <w:szCs w:val="20"/>
                <w:lang w:val="en-US"/>
              </w:rPr>
              <w:t xml:space="preserve">. </w:t>
            </w:r>
            <w:r w:rsidRPr="00F21526">
              <w:rPr>
                <w:rFonts w:ascii="Arial" w:hAnsi="Arial" w:cs="Arial"/>
                <w:sz w:val="20"/>
                <w:szCs w:val="20"/>
                <w:lang w:val="en-US"/>
              </w:rPr>
              <w:t>The task of the responsible physician falls within the practice of medicine (art. 2) and so art. 7 (license to practice) is applicable. This assures (because of the ethical oversight) the independency of the responsible physician with respect to</w:t>
            </w:r>
            <w:r>
              <w:rPr>
                <w:rFonts w:ascii="Arial" w:hAnsi="Arial" w:cs="Arial"/>
                <w:sz w:val="20"/>
                <w:szCs w:val="20"/>
                <w:lang w:val="en-US"/>
              </w:rPr>
              <w:t xml:space="preserve"> the responsible of the program</w:t>
            </w:r>
          </w:p>
          <w:p w14:paraId="3D4E6942" w14:textId="77777777" w:rsidR="00941BF0" w:rsidRDefault="00941BF0" w:rsidP="00A268D7">
            <w:pPr>
              <w:pStyle w:val="Lijstalinea"/>
              <w:numPr>
                <w:ilvl w:val="0"/>
                <w:numId w:val="5"/>
              </w:numPr>
              <w:ind w:left="357" w:hanging="357"/>
              <w:jc w:val="both"/>
              <w:rPr>
                <w:rFonts w:ascii="Arial" w:hAnsi="Arial" w:cs="Arial"/>
                <w:sz w:val="20"/>
                <w:szCs w:val="20"/>
                <w:lang w:val="en-US"/>
              </w:rPr>
            </w:pPr>
            <w:r>
              <w:rPr>
                <w:rFonts w:ascii="Arial" w:hAnsi="Arial" w:cs="Arial"/>
                <w:sz w:val="20"/>
                <w:szCs w:val="20"/>
                <w:lang w:val="en-US"/>
              </w:rPr>
              <w:t>T</w:t>
            </w:r>
            <w:r w:rsidRPr="00DA798A">
              <w:rPr>
                <w:rFonts w:ascii="Arial" w:hAnsi="Arial" w:cs="Arial"/>
                <w:sz w:val="20"/>
                <w:szCs w:val="20"/>
                <w:lang w:val="en-US"/>
              </w:rPr>
              <w:t>he responsible physician does not need to be an empl</w:t>
            </w:r>
            <w:r>
              <w:rPr>
                <w:rFonts w:ascii="Arial" w:hAnsi="Arial" w:cs="Arial"/>
                <w:sz w:val="20"/>
                <w:szCs w:val="20"/>
                <w:lang w:val="en-US"/>
              </w:rPr>
              <w:t>oyee of the applicant company</w:t>
            </w:r>
          </w:p>
          <w:p w14:paraId="0428EFEF" w14:textId="47C9E42F" w:rsidR="00941BF0" w:rsidRDefault="00941BF0" w:rsidP="00A268D7">
            <w:pPr>
              <w:pStyle w:val="Lijstalinea"/>
              <w:numPr>
                <w:ilvl w:val="0"/>
                <w:numId w:val="4"/>
              </w:numPr>
              <w:ind w:left="357" w:hanging="357"/>
              <w:jc w:val="both"/>
              <w:rPr>
                <w:rFonts w:ascii="Arial" w:hAnsi="Arial" w:cs="Arial"/>
                <w:sz w:val="20"/>
                <w:szCs w:val="20"/>
                <w:lang w:val="en-US"/>
              </w:rPr>
            </w:pPr>
            <w:r w:rsidRPr="005A5C97">
              <w:rPr>
                <w:rFonts w:ascii="Arial" w:hAnsi="Arial" w:cs="Arial"/>
                <w:sz w:val="20"/>
                <w:szCs w:val="20"/>
                <w:lang w:val="en-US"/>
              </w:rPr>
              <w:t xml:space="preserve">The responsible physician cannot act as treating physician in a program given that in this case this responsible physician would </w:t>
            </w:r>
            <w:r w:rsidR="003A6929" w:rsidRPr="005A5C97">
              <w:rPr>
                <w:rFonts w:ascii="Arial" w:hAnsi="Arial" w:cs="Arial"/>
                <w:sz w:val="20"/>
                <w:szCs w:val="20"/>
                <w:lang w:val="en-US"/>
              </w:rPr>
              <w:t xml:space="preserve">have </w:t>
            </w:r>
            <w:r w:rsidRPr="005A5C97">
              <w:rPr>
                <w:rFonts w:ascii="Arial" w:hAnsi="Arial" w:cs="Arial"/>
                <w:sz w:val="20"/>
                <w:szCs w:val="20"/>
                <w:lang w:val="en-US"/>
              </w:rPr>
              <w:t>to include his/her own patients to the program</w:t>
            </w:r>
          </w:p>
          <w:p w14:paraId="2743B505" w14:textId="487A29F4" w:rsidR="00867686" w:rsidRPr="005A5C97" w:rsidRDefault="00867686" w:rsidP="00A268D7">
            <w:pPr>
              <w:pStyle w:val="Lijstalinea"/>
              <w:numPr>
                <w:ilvl w:val="0"/>
                <w:numId w:val="4"/>
              </w:numPr>
              <w:ind w:left="357" w:hanging="357"/>
              <w:jc w:val="both"/>
              <w:rPr>
                <w:rFonts w:ascii="Arial" w:hAnsi="Arial" w:cs="Arial"/>
                <w:sz w:val="20"/>
                <w:szCs w:val="20"/>
                <w:lang w:val="en-US"/>
              </w:rPr>
            </w:pPr>
            <w:r>
              <w:rPr>
                <w:rFonts w:ascii="Arial" w:hAnsi="Arial" w:cs="Arial"/>
                <w:sz w:val="20"/>
                <w:szCs w:val="20"/>
                <w:lang w:val="en-US"/>
              </w:rPr>
              <w:t xml:space="preserve">The responsible physician </w:t>
            </w:r>
            <w:r w:rsidR="002A3542">
              <w:rPr>
                <w:rFonts w:ascii="Arial" w:hAnsi="Arial" w:cs="Arial"/>
                <w:sz w:val="20"/>
                <w:szCs w:val="20"/>
                <w:lang w:val="en-US"/>
              </w:rPr>
              <w:t>can be based outside</w:t>
            </w:r>
            <w:r>
              <w:rPr>
                <w:rFonts w:ascii="Arial" w:hAnsi="Arial" w:cs="Arial"/>
                <w:sz w:val="20"/>
                <w:szCs w:val="20"/>
                <w:lang w:val="en-US"/>
              </w:rPr>
              <w:t xml:space="preserve"> Belgium although he must have </w:t>
            </w:r>
            <w:r>
              <w:rPr>
                <w:rFonts w:ascii="Arial" w:hAnsi="Arial" w:cs="Arial"/>
                <w:sz w:val="20"/>
                <w:szCs w:val="20"/>
                <w:lang w:val="en-US"/>
              </w:rPr>
              <w:lastRenderedPageBreak/>
              <w:t>the license to practice medicine in Belgium</w:t>
            </w:r>
          </w:p>
          <w:p w14:paraId="318946F8" w14:textId="77777777" w:rsidR="00941BF0" w:rsidRPr="003579D2" w:rsidRDefault="00941BF0" w:rsidP="00A268D7">
            <w:pPr>
              <w:jc w:val="both"/>
              <w:rPr>
                <w:rFonts w:ascii="Arial" w:hAnsi="Arial" w:cs="Arial"/>
                <w:sz w:val="20"/>
                <w:szCs w:val="20"/>
                <w:lang w:val="en-US"/>
              </w:rPr>
            </w:pPr>
          </w:p>
        </w:tc>
        <w:tc>
          <w:tcPr>
            <w:tcW w:w="4192" w:type="dxa"/>
          </w:tcPr>
          <w:p w14:paraId="7A7452D6" w14:textId="77777777" w:rsidR="00941BF0" w:rsidRDefault="00941BF0" w:rsidP="00A268D7">
            <w:pPr>
              <w:pStyle w:val="Lijstalinea"/>
              <w:ind w:left="360"/>
              <w:jc w:val="both"/>
              <w:rPr>
                <w:rFonts w:ascii="Arial" w:hAnsi="Arial" w:cs="Arial"/>
                <w:sz w:val="20"/>
                <w:szCs w:val="20"/>
                <w:lang w:val="en-US"/>
              </w:rPr>
            </w:pPr>
          </w:p>
          <w:p w14:paraId="66878834" w14:textId="77777777" w:rsidR="007E235F" w:rsidRDefault="007E235F" w:rsidP="00A268D7">
            <w:pPr>
              <w:pStyle w:val="Lijstalinea"/>
              <w:ind w:left="360"/>
              <w:jc w:val="both"/>
              <w:rPr>
                <w:rFonts w:ascii="Arial" w:hAnsi="Arial" w:cs="Arial"/>
                <w:sz w:val="20"/>
                <w:szCs w:val="20"/>
                <w:lang w:val="en-US"/>
              </w:rPr>
            </w:pPr>
          </w:p>
          <w:p w14:paraId="5B9AC52A" w14:textId="47213BC6" w:rsidR="00941BF0" w:rsidRPr="00553939" w:rsidRDefault="00941BF0" w:rsidP="00A268D7">
            <w:pPr>
              <w:pStyle w:val="Lijstalinea"/>
              <w:numPr>
                <w:ilvl w:val="0"/>
                <w:numId w:val="4"/>
              </w:numPr>
              <w:jc w:val="both"/>
              <w:rPr>
                <w:rFonts w:ascii="Arial" w:hAnsi="Arial" w:cs="Arial"/>
                <w:sz w:val="20"/>
                <w:szCs w:val="20"/>
                <w:lang w:val="en-US"/>
              </w:rPr>
            </w:pPr>
            <w:r w:rsidRPr="00553939">
              <w:rPr>
                <w:rFonts w:ascii="Arial" w:hAnsi="Arial" w:cs="Arial"/>
                <w:sz w:val="20"/>
                <w:szCs w:val="20"/>
                <w:lang w:val="en-US"/>
              </w:rPr>
              <w:t>Check th</w:t>
            </w:r>
            <w:r w:rsidR="003A6929">
              <w:rPr>
                <w:rFonts w:ascii="Arial" w:hAnsi="Arial" w:cs="Arial"/>
                <w:sz w:val="20"/>
                <w:szCs w:val="20"/>
                <w:lang w:val="en-US"/>
              </w:rPr>
              <w:t>e  inclusion/exclusion criteria</w:t>
            </w:r>
          </w:p>
          <w:p w14:paraId="5B8ACBF9" w14:textId="0B0EBCCE" w:rsidR="00941BF0" w:rsidRPr="00553939" w:rsidRDefault="00941BF0" w:rsidP="00A268D7">
            <w:pPr>
              <w:pStyle w:val="Lijstalinea"/>
              <w:numPr>
                <w:ilvl w:val="0"/>
                <w:numId w:val="4"/>
              </w:numPr>
              <w:jc w:val="both"/>
              <w:rPr>
                <w:rFonts w:ascii="Arial" w:hAnsi="Arial" w:cs="Arial"/>
                <w:sz w:val="20"/>
                <w:szCs w:val="20"/>
                <w:lang w:val="en-US"/>
              </w:rPr>
            </w:pPr>
            <w:r w:rsidRPr="00553939">
              <w:rPr>
                <w:rFonts w:ascii="Arial" w:hAnsi="Arial" w:cs="Arial"/>
                <w:sz w:val="20"/>
                <w:szCs w:val="20"/>
                <w:lang w:val="en-US"/>
              </w:rPr>
              <w:t xml:space="preserve">Check ongoing clinical </w:t>
            </w:r>
            <w:r w:rsidR="003A6929">
              <w:rPr>
                <w:rFonts w:ascii="Arial" w:hAnsi="Arial" w:cs="Arial"/>
                <w:sz w:val="20"/>
                <w:szCs w:val="20"/>
                <w:lang w:val="en-US"/>
              </w:rPr>
              <w:t>trials suitable for the patient</w:t>
            </w:r>
          </w:p>
          <w:p w14:paraId="76C008FD" w14:textId="77777777" w:rsidR="00941BF0" w:rsidRPr="00553939" w:rsidRDefault="00941BF0" w:rsidP="00A268D7">
            <w:pPr>
              <w:pStyle w:val="Lijstalinea"/>
              <w:numPr>
                <w:ilvl w:val="0"/>
                <w:numId w:val="4"/>
              </w:numPr>
              <w:jc w:val="both"/>
              <w:rPr>
                <w:rFonts w:ascii="Arial" w:hAnsi="Arial" w:cs="Arial"/>
                <w:sz w:val="20"/>
                <w:szCs w:val="20"/>
                <w:lang w:val="en-US"/>
              </w:rPr>
            </w:pPr>
            <w:r w:rsidRPr="00553939">
              <w:rPr>
                <w:rFonts w:ascii="Arial" w:hAnsi="Arial" w:cs="Arial"/>
                <w:sz w:val="20"/>
                <w:szCs w:val="20"/>
                <w:lang w:val="en-US"/>
              </w:rPr>
              <w:t>Give his authorization to enroll the patient in the program to the responsible of the program</w:t>
            </w:r>
          </w:p>
          <w:p w14:paraId="4025C394" w14:textId="77777777" w:rsidR="00941BF0" w:rsidRPr="00553939" w:rsidRDefault="00941BF0" w:rsidP="00A268D7">
            <w:pPr>
              <w:pStyle w:val="Lijstalinea"/>
              <w:numPr>
                <w:ilvl w:val="0"/>
                <w:numId w:val="4"/>
              </w:numPr>
              <w:jc w:val="both"/>
              <w:rPr>
                <w:rFonts w:ascii="Arial" w:hAnsi="Arial" w:cs="Arial"/>
                <w:sz w:val="20"/>
                <w:szCs w:val="20"/>
                <w:lang w:val="en-US"/>
              </w:rPr>
            </w:pPr>
            <w:r w:rsidRPr="00553939">
              <w:rPr>
                <w:rFonts w:ascii="Arial" w:hAnsi="Arial" w:cs="Arial"/>
                <w:sz w:val="20"/>
                <w:szCs w:val="20"/>
                <w:lang w:val="en-US"/>
              </w:rPr>
              <w:t>Codify adverse events and send these data to the responsible of the program*</w:t>
            </w:r>
          </w:p>
        </w:tc>
      </w:tr>
      <w:tr w:rsidR="00941BF0" w:rsidRPr="002A3542" w14:paraId="272A1247" w14:textId="77777777" w:rsidTr="000E3543">
        <w:trPr>
          <w:trHeight w:val="514"/>
        </w:trPr>
        <w:tc>
          <w:tcPr>
            <w:tcW w:w="4192" w:type="dxa"/>
          </w:tcPr>
          <w:p w14:paraId="62EF8FB9" w14:textId="77777777" w:rsidR="00941BF0" w:rsidRDefault="00941BF0" w:rsidP="007E235F">
            <w:pPr>
              <w:spacing w:before="120" w:after="120"/>
              <w:jc w:val="both"/>
              <w:rPr>
                <w:rFonts w:ascii="Arial" w:hAnsi="Arial" w:cs="Arial"/>
                <w:sz w:val="20"/>
                <w:szCs w:val="20"/>
                <w:lang w:val="en-US"/>
              </w:rPr>
            </w:pPr>
            <w:r w:rsidRPr="00553939">
              <w:rPr>
                <w:rFonts w:ascii="Arial" w:hAnsi="Arial" w:cs="Arial"/>
                <w:b/>
                <w:sz w:val="20"/>
                <w:szCs w:val="20"/>
                <w:lang w:val="en-US"/>
              </w:rPr>
              <w:t>Responsible of the program</w:t>
            </w:r>
          </w:p>
          <w:p w14:paraId="7AB87072" w14:textId="0DB0187A" w:rsidR="00941BF0" w:rsidRPr="003A6929" w:rsidRDefault="00941BF0" w:rsidP="003A6929">
            <w:pPr>
              <w:pStyle w:val="Lijstalinea"/>
              <w:numPr>
                <w:ilvl w:val="0"/>
                <w:numId w:val="4"/>
              </w:numPr>
              <w:spacing w:after="240"/>
              <w:jc w:val="both"/>
              <w:rPr>
                <w:rFonts w:ascii="Arial" w:hAnsi="Arial" w:cs="Arial"/>
                <w:sz w:val="20"/>
                <w:szCs w:val="20"/>
                <w:lang w:val="en-US"/>
              </w:rPr>
            </w:pPr>
            <w:r w:rsidRPr="003579D2">
              <w:rPr>
                <w:rFonts w:ascii="Arial" w:hAnsi="Arial" w:cs="Arial"/>
                <w:sz w:val="20"/>
                <w:szCs w:val="20"/>
                <w:lang w:val="en-US"/>
              </w:rPr>
              <w:t xml:space="preserve">The responsible of the program stated in art.106 §3 can be a sponsor in the comprehension of the law of 7 May 2004 regarding experiments on humans, meaning that the responsible can be a person, an enterprise, an institution or an organism responsible for the launch, management and/or financing of an experiment with </w:t>
            </w:r>
            <w:r w:rsidR="003A6929">
              <w:rPr>
                <w:rFonts w:ascii="Arial" w:hAnsi="Arial" w:cs="Arial"/>
                <w:sz w:val="20"/>
                <w:szCs w:val="20"/>
                <w:lang w:val="en-US"/>
              </w:rPr>
              <w:t>the concerned medicinal product</w:t>
            </w:r>
          </w:p>
        </w:tc>
        <w:tc>
          <w:tcPr>
            <w:tcW w:w="4192" w:type="dxa"/>
          </w:tcPr>
          <w:p w14:paraId="5C84E95F" w14:textId="77777777" w:rsidR="00941BF0" w:rsidRDefault="00941BF0" w:rsidP="00A268D7">
            <w:pPr>
              <w:pStyle w:val="Lijstalinea"/>
              <w:ind w:left="360"/>
              <w:jc w:val="both"/>
              <w:rPr>
                <w:rFonts w:ascii="Arial" w:eastAsia="Calibri" w:hAnsi="Arial" w:cs="Arial"/>
                <w:sz w:val="20"/>
                <w:szCs w:val="20"/>
                <w:lang w:val="en-US" w:eastAsia="fr-BE"/>
              </w:rPr>
            </w:pPr>
          </w:p>
          <w:p w14:paraId="15BC0912" w14:textId="77777777" w:rsidR="007E235F" w:rsidRDefault="007E235F" w:rsidP="00A268D7">
            <w:pPr>
              <w:pStyle w:val="Lijstalinea"/>
              <w:ind w:left="360"/>
              <w:jc w:val="both"/>
              <w:rPr>
                <w:rFonts w:ascii="Arial" w:eastAsia="Calibri" w:hAnsi="Arial" w:cs="Arial"/>
                <w:sz w:val="20"/>
                <w:szCs w:val="20"/>
                <w:lang w:val="en-US" w:eastAsia="fr-BE"/>
              </w:rPr>
            </w:pPr>
          </w:p>
          <w:p w14:paraId="71F9C204" w14:textId="77777777" w:rsidR="00941BF0" w:rsidRPr="00553939" w:rsidRDefault="00941BF0" w:rsidP="00A268D7">
            <w:pPr>
              <w:pStyle w:val="Lijstalinea"/>
              <w:numPr>
                <w:ilvl w:val="1"/>
                <w:numId w:val="2"/>
              </w:numPr>
              <w:ind w:left="360"/>
              <w:jc w:val="both"/>
              <w:rPr>
                <w:rFonts w:ascii="Arial" w:eastAsia="Calibri" w:hAnsi="Arial" w:cs="Arial"/>
                <w:sz w:val="20"/>
                <w:szCs w:val="20"/>
                <w:lang w:val="en-US" w:eastAsia="fr-BE"/>
              </w:rPr>
            </w:pPr>
            <w:r w:rsidRPr="00553939">
              <w:rPr>
                <w:rFonts w:ascii="Arial" w:eastAsia="Calibri" w:hAnsi="Arial" w:cs="Arial"/>
                <w:sz w:val="20"/>
                <w:szCs w:val="20"/>
                <w:lang w:val="en-US" w:eastAsia="fr-BE"/>
              </w:rPr>
              <w:t>Implement the CUP/MNP</w:t>
            </w:r>
          </w:p>
          <w:p w14:paraId="159511DC" w14:textId="77777777" w:rsidR="00941BF0" w:rsidRPr="00553939" w:rsidRDefault="00941BF0" w:rsidP="00A268D7">
            <w:pPr>
              <w:pStyle w:val="Lijstalinea"/>
              <w:numPr>
                <w:ilvl w:val="1"/>
                <w:numId w:val="2"/>
              </w:numPr>
              <w:ind w:left="360"/>
              <w:jc w:val="both"/>
              <w:rPr>
                <w:rFonts w:ascii="Arial" w:eastAsia="Calibri" w:hAnsi="Arial" w:cs="Arial"/>
                <w:sz w:val="20"/>
                <w:szCs w:val="20"/>
                <w:lang w:val="en-US" w:eastAsia="fr-BE"/>
              </w:rPr>
            </w:pPr>
            <w:r w:rsidRPr="00553939">
              <w:rPr>
                <w:rFonts w:ascii="Arial" w:eastAsia="Calibri" w:hAnsi="Arial" w:cs="Arial"/>
                <w:sz w:val="20"/>
                <w:szCs w:val="20"/>
                <w:lang w:val="en-US" w:eastAsia="fr-BE"/>
              </w:rPr>
              <w:t>Assign the responsible physician for the program</w:t>
            </w:r>
          </w:p>
          <w:p w14:paraId="12DAE8E3" w14:textId="77777777" w:rsidR="00941BF0" w:rsidRPr="00553939" w:rsidRDefault="00941BF0" w:rsidP="00A268D7">
            <w:pPr>
              <w:pStyle w:val="Lijstalinea"/>
              <w:numPr>
                <w:ilvl w:val="1"/>
                <w:numId w:val="2"/>
              </w:numPr>
              <w:ind w:left="360"/>
              <w:jc w:val="both"/>
              <w:rPr>
                <w:rFonts w:ascii="Arial" w:eastAsia="Calibri" w:hAnsi="Arial" w:cs="Arial"/>
                <w:sz w:val="20"/>
                <w:szCs w:val="20"/>
                <w:lang w:val="en-US" w:eastAsia="fr-BE"/>
              </w:rPr>
            </w:pPr>
            <w:r>
              <w:rPr>
                <w:rFonts w:ascii="Arial" w:eastAsia="Calibri" w:hAnsi="Arial" w:cs="Arial"/>
                <w:sz w:val="20"/>
                <w:szCs w:val="20"/>
                <w:lang w:val="en-US" w:eastAsia="fr-BE"/>
              </w:rPr>
              <w:t>Manage</w:t>
            </w:r>
            <w:r w:rsidRPr="00553939">
              <w:rPr>
                <w:rFonts w:ascii="Arial" w:eastAsia="Calibri" w:hAnsi="Arial" w:cs="Arial"/>
                <w:sz w:val="20"/>
                <w:szCs w:val="20"/>
                <w:lang w:val="en-US" w:eastAsia="fr-BE"/>
              </w:rPr>
              <w:t xml:space="preserve"> a central register of patients included</w:t>
            </w:r>
          </w:p>
          <w:p w14:paraId="7324F646" w14:textId="77777777" w:rsidR="00941BF0" w:rsidRDefault="00941BF0" w:rsidP="00A268D7">
            <w:pPr>
              <w:pStyle w:val="Lijstalinea"/>
              <w:numPr>
                <w:ilvl w:val="1"/>
                <w:numId w:val="2"/>
              </w:numPr>
              <w:ind w:left="360"/>
              <w:jc w:val="both"/>
              <w:rPr>
                <w:rFonts w:ascii="Arial" w:eastAsia="Calibri" w:hAnsi="Arial" w:cs="Arial"/>
                <w:sz w:val="20"/>
                <w:szCs w:val="20"/>
                <w:lang w:val="en-US" w:eastAsia="fr-BE"/>
              </w:rPr>
            </w:pPr>
            <w:r>
              <w:rPr>
                <w:rFonts w:ascii="Arial" w:eastAsia="Calibri" w:hAnsi="Arial" w:cs="Arial"/>
                <w:sz w:val="20"/>
                <w:szCs w:val="20"/>
                <w:lang w:val="en-US" w:eastAsia="fr-BE"/>
              </w:rPr>
              <w:t>Manage</w:t>
            </w:r>
            <w:r w:rsidRPr="00553939">
              <w:rPr>
                <w:rFonts w:ascii="Arial" w:eastAsia="Calibri" w:hAnsi="Arial" w:cs="Arial"/>
                <w:sz w:val="20"/>
                <w:szCs w:val="20"/>
                <w:lang w:val="en-US" w:eastAsia="fr-BE"/>
              </w:rPr>
              <w:t xml:space="preserve"> the record of coded s</w:t>
            </w:r>
            <w:r>
              <w:rPr>
                <w:rFonts w:ascii="Arial" w:eastAsia="Calibri" w:hAnsi="Arial" w:cs="Arial"/>
                <w:sz w:val="20"/>
                <w:szCs w:val="20"/>
                <w:lang w:val="en-US" w:eastAsia="fr-BE"/>
              </w:rPr>
              <w:t>uspected serious adverse events</w:t>
            </w:r>
          </w:p>
          <w:p w14:paraId="6C08C2E7" w14:textId="77777777" w:rsidR="00941BF0" w:rsidRPr="00553939" w:rsidRDefault="00941BF0" w:rsidP="00A268D7">
            <w:pPr>
              <w:pStyle w:val="Lijstalinea"/>
              <w:numPr>
                <w:ilvl w:val="1"/>
                <w:numId w:val="2"/>
              </w:numPr>
              <w:ind w:left="360"/>
              <w:jc w:val="both"/>
              <w:rPr>
                <w:rFonts w:ascii="Arial" w:eastAsia="Calibri" w:hAnsi="Arial" w:cs="Arial"/>
                <w:sz w:val="20"/>
                <w:szCs w:val="20"/>
                <w:lang w:val="en-US" w:eastAsia="fr-BE"/>
              </w:rPr>
            </w:pPr>
            <w:r w:rsidRPr="00553939">
              <w:rPr>
                <w:rFonts w:ascii="Arial" w:eastAsia="Calibri" w:hAnsi="Arial" w:cs="Arial"/>
                <w:sz w:val="20"/>
                <w:szCs w:val="20"/>
                <w:lang w:val="en-US" w:eastAsia="fr-BE"/>
              </w:rPr>
              <w:t xml:space="preserve">Report the </w:t>
            </w:r>
            <w:r>
              <w:rPr>
                <w:rFonts w:ascii="Arial" w:eastAsia="Calibri" w:hAnsi="Arial" w:cs="Arial"/>
                <w:sz w:val="20"/>
                <w:szCs w:val="20"/>
                <w:lang w:val="en-US" w:eastAsia="fr-BE"/>
              </w:rPr>
              <w:t>SUSARs to the FAHMP</w:t>
            </w:r>
          </w:p>
        </w:tc>
      </w:tr>
    </w:tbl>
    <w:p w14:paraId="140BF919" w14:textId="77777777" w:rsidR="00941BF0" w:rsidRPr="00DA798A" w:rsidRDefault="00941BF0" w:rsidP="00941BF0">
      <w:pPr>
        <w:spacing w:before="120" w:after="240"/>
        <w:ind w:left="709"/>
        <w:jc w:val="both"/>
        <w:rPr>
          <w:rFonts w:ascii="Arial" w:hAnsi="Arial" w:cs="Arial"/>
          <w:sz w:val="20"/>
          <w:szCs w:val="20"/>
          <w:lang w:val="en-US"/>
        </w:rPr>
      </w:pPr>
      <w:r w:rsidRPr="00DA798A">
        <w:rPr>
          <w:rFonts w:ascii="Arial" w:hAnsi="Arial" w:cs="Arial"/>
          <w:sz w:val="20"/>
          <w:szCs w:val="20"/>
          <w:lang w:val="en-US"/>
        </w:rPr>
        <w:t>*A waiver can be requested to keep the key for the codification on the treating physician’s side</w:t>
      </w:r>
      <w:r>
        <w:rPr>
          <w:rFonts w:ascii="Arial" w:hAnsi="Arial" w:cs="Arial"/>
          <w:sz w:val="20"/>
          <w:szCs w:val="20"/>
          <w:lang w:val="en-US"/>
        </w:rPr>
        <w:t>.</w:t>
      </w:r>
    </w:p>
    <w:p w14:paraId="315CE5F6" w14:textId="1DC17153" w:rsidR="00941BF0" w:rsidRPr="00941BF0" w:rsidRDefault="00941BF0" w:rsidP="00941BF0">
      <w:pPr>
        <w:pStyle w:val="Lijstalinea"/>
        <w:numPr>
          <w:ilvl w:val="0"/>
          <w:numId w:val="1"/>
        </w:numPr>
        <w:spacing w:after="120"/>
        <w:ind w:left="714" w:hanging="357"/>
        <w:rPr>
          <w:rFonts w:ascii="Arial" w:hAnsi="Arial" w:cs="Arial"/>
          <w:b/>
          <w:sz w:val="20"/>
          <w:szCs w:val="20"/>
          <w:lang w:val="en-GB"/>
        </w:rPr>
      </w:pPr>
      <w:bookmarkStart w:id="22" w:name="_Ref1476317"/>
      <w:r w:rsidRPr="00941BF0">
        <w:rPr>
          <w:rFonts w:ascii="Arial" w:hAnsi="Arial" w:cs="Arial"/>
          <w:b/>
          <w:sz w:val="20"/>
          <w:szCs w:val="20"/>
          <w:lang w:val="en-GB"/>
        </w:rPr>
        <w:t xml:space="preserve">Do we have to include every patient that </w:t>
      </w:r>
      <w:r w:rsidR="000E3543" w:rsidRPr="00941BF0">
        <w:rPr>
          <w:rFonts w:ascii="Arial" w:hAnsi="Arial" w:cs="Arial"/>
          <w:b/>
          <w:sz w:val="20"/>
          <w:szCs w:val="20"/>
          <w:lang w:val="en-GB"/>
        </w:rPr>
        <w:t>fulfils</w:t>
      </w:r>
      <w:r w:rsidRPr="00941BF0">
        <w:rPr>
          <w:rFonts w:ascii="Arial" w:hAnsi="Arial" w:cs="Arial"/>
          <w:b/>
          <w:sz w:val="20"/>
          <w:szCs w:val="20"/>
          <w:lang w:val="en-GB"/>
        </w:rPr>
        <w:t xml:space="preserve"> the inclusion/exclusion criteria?</w:t>
      </w:r>
      <w:bookmarkEnd w:id="20"/>
      <w:bookmarkEnd w:id="22"/>
    </w:p>
    <w:p w14:paraId="53EED327" w14:textId="7F01D88A" w:rsidR="00941BF0" w:rsidRDefault="00941BF0" w:rsidP="00941BF0">
      <w:pPr>
        <w:spacing w:before="120" w:after="240"/>
        <w:ind w:left="720"/>
        <w:jc w:val="both"/>
        <w:rPr>
          <w:rFonts w:ascii="Arial" w:hAnsi="Arial" w:cs="Arial"/>
          <w:sz w:val="20"/>
          <w:szCs w:val="20"/>
          <w:lang w:val="en-US"/>
        </w:rPr>
      </w:pPr>
      <w:r w:rsidRPr="003579D2">
        <w:rPr>
          <w:rFonts w:ascii="Arial" w:hAnsi="Arial" w:cs="Arial"/>
          <w:sz w:val="20"/>
          <w:szCs w:val="20"/>
          <w:lang w:val="en-US"/>
        </w:rPr>
        <w:t>Once the CUP</w:t>
      </w:r>
      <w:r w:rsidR="00920E85">
        <w:rPr>
          <w:rFonts w:ascii="Arial" w:hAnsi="Arial" w:cs="Arial"/>
          <w:sz w:val="20"/>
          <w:szCs w:val="20"/>
          <w:lang w:val="en-US"/>
        </w:rPr>
        <w:t xml:space="preserve"> or </w:t>
      </w:r>
      <w:r w:rsidRPr="003579D2">
        <w:rPr>
          <w:rFonts w:ascii="Arial" w:hAnsi="Arial" w:cs="Arial"/>
          <w:sz w:val="20"/>
          <w:szCs w:val="20"/>
          <w:lang w:val="en-US"/>
        </w:rPr>
        <w:t>MNP has been set up, all patients that fulfill the inclusion/exclusion criteria should have access to the CUP</w:t>
      </w:r>
      <w:r w:rsidR="00920E85">
        <w:rPr>
          <w:rFonts w:ascii="Arial" w:hAnsi="Arial" w:cs="Arial"/>
          <w:sz w:val="20"/>
          <w:szCs w:val="20"/>
          <w:lang w:val="en-US"/>
        </w:rPr>
        <w:t xml:space="preserve"> or</w:t>
      </w:r>
      <w:r w:rsidR="008A1322">
        <w:rPr>
          <w:rFonts w:ascii="Arial" w:hAnsi="Arial" w:cs="Arial"/>
          <w:sz w:val="20"/>
          <w:szCs w:val="20"/>
          <w:lang w:val="en-US"/>
        </w:rPr>
        <w:t xml:space="preserve"> </w:t>
      </w:r>
      <w:r w:rsidRPr="003579D2">
        <w:rPr>
          <w:rFonts w:ascii="Arial" w:hAnsi="Arial" w:cs="Arial"/>
          <w:sz w:val="20"/>
          <w:szCs w:val="20"/>
          <w:lang w:val="en-US"/>
        </w:rPr>
        <w:t xml:space="preserve">MNP unless objective and motivated limitations are stipulated in the program. </w:t>
      </w:r>
    </w:p>
    <w:p w14:paraId="6AB6E55F" w14:textId="77777777" w:rsidR="00D274BC" w:rsidRPr="00D274BC" w:rsidRDefault="00D274BC" w:rsidP="000F594A">
      <w:pPr>
        <w:pStyle w:val="Lijstalinea"/>
        <w:numPr>
          <w:ilvl w:val="0"/>
          <w:numId w:val="1"/>
        </w:numPr>
        <w:spacing w:after="120"/>
        <w:ind w:left="714" w:hanging="357"/>
        <w:rPr>
          <w:rFonts w:ascii="Arial" w:hAnsi="Arial" w:cs="Arial"/>
          <w:b/>
          <w:sz w:val="20"/>
          <w:szCs w:val="20"/>
          <w:lang w:val="en-US"/>
        </w:rPr>
      </w:pPr>
      <w:r w:rsidRPr="00D274BC">
        <w:rPr>
          <w:rFonts w:ascii="Arial" w:hAnsi="Arial" w:cs="Arial"/>
          <w:b/>
          <w:sz w:val="20"/>
          <w:szCs w:val="20"/>
          <w:lang w:val="en-US"/>
        </w:rPr>
        <w:t>Do we need to submit the central registry to the FAMHP?</w:t>
      </w:r>
    </w:p>
    <w:p w14:paraId="058A6DCB" w14:textId="444F2B13" w:rsidR="00D274BC" w:rsidRDefault="00D274BC" w:rsidP="00D274BC">
      <w:pPr>
        <w:spacing w:after="240"/>
        <w:ind w:left="709"/>
        <w:jc w:val="both"/>
        <w:rPr>
          <w:rFonts w:ascii="Arial" w:hAnsi="Arial" w:cs="Arial"/>
          <w:sz w:val="20"/>
          <w:szCs w:val="20"/>
          <w:lang w:val="en-US"/>
        </w:rPr>
      </w:pPr>
      <w:r w:rsidRPr="00D274BC">
        <w:rPr>
          <w:rFonts w:ascii="Arial" w:hAnsi="Arial" w:cs="Arial"/>
          <w:sz w:val="20"/>
          <w:szCs w:val="20"/>
          <w:lang w:val="en-US"/>
        </w:rPr>
        <w:t xml:space="preserve">It does not need to be submitted but should be available in view of control by FAMHP, </w:t>
      </w:r>
      <w:r w:rsidR="00B3698A" w:rsidRPr="00D274BC">
        <w:rPr>
          <w:rFonts w:ascii="Arial" w:hAnsi="Arial" w:cs="Arial"/>
          <w:sz w:val="20"/>
          <w:szCs w:val="20"/>
          <w:lang w:val="en-US"/>
        </w:rPr>
        <w:t>traceability and pharmacovigilance</w:t>
      </w:r>
      <w:r w:rsidR="00D508CC">
        <w:rPr>
          <w:rFonts w:ascii="Arial" w:hAnsi="Arial" w:cs="Arial"/>
          <w:sz w:val="20"/>
          <w:szCs w:val="20"/>
          <w:lang w:val="en-US"/>
        </w:rPr>
        <w:t xml:space="preserve">. Therefore </w:t>
      </w:r>
      <w:r w:rsidRPr="00D274BC">
        <w:rPr>
          <w:rFonts w:ascii="Arial" w:hAnsi="Arial" w:cs="Arial"/>
          <w:sz w:val="20"/>
          <w:szCs w:val="20"/>
          <w:lang w:val="en-US"/>
        </w:rPr>
        <w:t xml:space="preserve">it is necessary that </w:t>
      </w:r>
      <w:r w:rsidR="00D508CC">
        <w:rPr>
          <w:rFonts w:ascii="Arial" w:hAnsi="Arial" w:cs="Arial"/>
          <w:sz w:val="20"/>
          <w:szCs w:val="20"/>
          <w:lang w:val="en-US"/>
        </w:rPr>
        <w:t>the central registry</w:t>
      </w:r>
      <w:r w:rsidR="00D508CC" w:rsidRPr="00D274BC">
        <w:rPr>
          <w:rFonts w:ascii="Arial" w:hAnsi="Arial" w:cs="Arial"/>
          <w:sz w:val="20"/>
          <w:szCs w:val="20"/>
          <w:lang w:val="en-US"/>
        </w:rPr>
        <w:t xml:space="preserve"> </w:t>
      </w:r>
      <w:r w:rsidRPr="00D274BC">
        <w:rPr>
          <w:rFonts w:ascii="Arial" w:hAnsi="Arial" w:cs="Arial"/>
          <w:sz w:val="20"/>
          <w:szCs w:val="20"/>
          <w:lang w:val="en-US"/>
        </w:rPr>
        <w:t>is accessible in Belgium. .</w:t>
      </w:r>
    </w:p>
    <w:p w14:paraId="05B439B3" w14:textId="77777777" w:rsidR="001A2067" w:rsidRPr="00BB6B70" w:rsidRDefault="001A2067" w:rsidP="00BB6B70">
      <w:pPr>
        <w:pStyle w:val="Lijstalinea"/>
        <w:numPr>
          <w:ilvl w:val="0"/>
          <w:numId w:val="1"/>
        </w:numPr>
        <w:spacing w:after="120"/>
        <w:ind w:left="714" w:hanging="357"/>
        <w:rPr>
          <w:rFonts w:ascii="Arial" w:hAnsi="Arial" w:cs="Arial"/>
          <w:b/>
          <w:sz w:val="20"/>
          <w:szCs w:val="20"/>
          <w:lang w:val="en-GB"/>
        </w:rPr>
      </w:pPr>
      <w:r w:rsidRPr="00BB6B70">
        <w:rPr>
          <w:rFonts w:ascii="Arial" w:hAnsi="Arial" w:cs="Arial"/>
          <w:b/>
          <w:sz w:val="20"/>
          <w:szCs w:val="20"/>
          <w:lang w:val="en-GB"/>
        </w:rPr>
        <w:t>What is published on the FAMHP website?</w:t>
      </w:r>
      <w:bookmarkEnd w:id="21"/>
    </w:p>
    <w:p w14:paraId="6E1648EA" w14:textId="57073C47" w:rsidR="001A2067" w:rsidRDefault="001A2067" w:rsidP="001A2067">
      <w:pPr>
        <w:spacing w:before="120" w:after="240"/>
        <w:ind w:left="720"/>
        <w:jc w:val="both"/>
        <w:rPr>
          <w:rFonts w:ascii="Arial" w:hAnsi="Arial" w:cs="Arial"/>
          <w:sz w:val="20"/>
          <w:szCs w:val="20"/>
          <w:lang w:val="en-US"/>
        </w:rPr>
      </w:pPr>
      <w:r>
        <w:rPr>
          <w:rFonts w:ascii="Arial" w:hAnsi="Arial" w:cs="Arial"/>
          <w:sz w:val="20"/>
          <w:szCs w:val="20"/>
          <w:lang w:val="en-US"/>
        </w:rPr>
        <w:t xml:space="preserve">All programs that have been </w:t>
      </w:r>
      <w:r w:rsidR="00E87110">
        <w:rPr>
          <w:rFonts w:ascii="Arial" w:hAnsi="Arial" w:cs="Arial"/>
          <w:sz w:val="20"/>
          <w:szCs w:val="20"/>
          <w:lang w:val="en-US"/>
        </w:rPr>
        <w:t>submitted after</w:t>
      </w:r>
      <w:r>
        <w:rPr>
          <w:rFonts w:ascii="Arial" w:hAnsi="Arial" w:cs="Arial"/>
          <w:sz w:val="20"/>
          <w:szCs w:val="20"/>
          <w:lang w:val="en-US"/>
        </w:rPr>
        <w:t xml:space="preserve"> 01/0</w:t>
      </w:r>
      <w:r w:rsidR="005D39B7">
        <w:rPr>
          <w:rFonts w:ascii="Arial" w:hAnsi="Arial" w:cs="Arial"/>
          <w:sz w:val="20"/>
          <w:szCs w:val="20"/>
          <w:lang w:val="en-US"/>
        </w:rPr>
        <w:t>7</w:t>
      </w:r>
      <w:r>
        <w:rPr>
          <w:rFonts w:ascii="Arial" w:hAnsi="Arial" w:cs="Arial"/>
          <w:sz w:val="20"/>
          <w:szCs w:val="20"/>
          <w:lang w:val="en-US"/>
        </w:rPr>
        <w:t xml:space="preserve">/2014 </w:t>
      </w:r>
      <w:r w:rsidR="00DB219E">
        <w:rPr>
          <w:rFonts w:ascii="Arial" w:hAnsi="Arial" w:cs="Arial"/>
          <w:sz w:val="20"/>
          <w:szCs w:val="20"/>
          <w:lang w:val="en-US"/>
        </w:rPr>
        <w:t xml:space="preserve">and have been approved </w:t>
      </w:r>
      <w:r>
        <w:rPr>
          <w:rFonts w:ascii="Arial" w:hAnsi="Arial" w:cs="Arial"/>
          <w:sz w:val="20"/>
          <w:szCs w:val="20"/>
          <w:lang w:val="en-US"/>
        </w:rPr>
        <w:t xml:space="preserve">are published on </w:t>
      </w:r>
      <w:r w:rsidRPr="000E3543">
        <w:rPr>
          <w:rFonts w:ascii="Arial" w:hAnsi="Arial" w:cs="Arial"/>
          <w:sz w:val="20"/>
          <w:szCs w:val="20"/>
          <w:lang w:val="en-US"/>
        </w:rPr>
        <w:t xml:space="preserve">the </w:t>
      </w:r>
      <w:hyperlink r:id="rId12" w:history="1">
        <w:r w:rsidRPr="000E3543">
          <w:rPr>
            <w:rStyle w:val="Hyperlink"/>
            <w:rFonts w:ascii="Arial" w:hAnsi="Arial" w:cs="Arial"/>
            <w:sz w:val="20"/>
            <w:szCs w:val="20"/>
            <w:lang w:val="en-US"/>
          </w:rPr>
          <w:t>website</w:t>
        </w:r>
      </w:hyperlink>
      <w:r w:rsidRPr="000E3543">
        <w:rPr>
          <w:rFonts w:ascii="Arial" w:hAnsi="Arial" w:cs="Arial"/>
          <w:sz w:val="20"/>
          <w:szCs w:val="20"/>
          <w:lang w:val="en-US"/>
        </w:rPr>
        <w:t xml:space="preserve"> in the </w:t>
      </w:r>
      <w:r w:rsidR="003B4852" w:rsidRPr="000E3543">
        <w:rPr>
          <w:rFonts w:ascii="Arial" w:hAnsi="Arial" w:cs="Arial"/>
          <w:sz w:val="20"/>
          <w:szCs w:val="20"/>
          <w:lang w:val="en-US"/>
        </w:rPr>
        <w:t>appropriate section:</w:t>
      </w:r>
      <w:r w:rsidRPr="000E3543">
        <w:rPr>
          <w:rFonts w:ascii="Arial" w:hAnsi="Arial" w:cs="Arial"/>
          <w:sz w:val="20"/>
          <w:szCs w:val="20"/>
          <w:lang w:val="en-US"/>
        </w:rPr>
        <w:t xml:space="preserve"> ‘</w:t>
      </w:r>
      <w:r w:rsidR="003B4852" w:rsidRPr="000E3543">
        <w:rPr>
          <w:rFonts w:ascii="Arial" w:hAnsi="Arial" w:cs="Arial"/>
          <w:sz w:val="20"/>
          <w:szCs w:val="20"/>
          <w:lang w:val="en-US"/>
        </w:rPr>
        <w:t>authorized programs</w:t>
      </w:r>
      <w:r w:rsidRPr="000E3543">
        <w:rPr>
          <w:rFonts w:ascii="Arial" w:hAnsi="Arial" w:cs="Arial"/>
          <w:sz w:val="20"/>
          <w:szCs w:val="20"/>
          <w:lang w:val="en-US"/>
        </w:rPr>
        <w:t xml:space="preserve">’, </w:t>
      </w:r>
      <w:r w:rsidR="00D4363F">
        <w:rPr>
          <w:rFonts w:ascii="Arial" w:hAnsi="Arial" w:cs="Arial"/>
          <w:sz w:val="20"/>
          <w:szCs w:val="20"/>
          <w:lang w:val="en-US"/>
        </w:rPr>
        <w:t>‘</w:t>
      </w:r>
      <w:r w:rsidRPr="000E3543">
        <w:rPr>
          <w:rFonts w:ascii="Arial" w:hAnsi="Arial" w:cs="Arial"/>
          <w:sz w:val="20"/>
          <w:szCs w:val="20"/>
          <w:lang w:val="en-US"/>
        </w:rPr>
        <w:t>closed</w:t>
      </w:r>
      <w:r w:rsidR="003B4852" w:rsidRPr="000E3543">
        <w:rPr>
          <w:rFonts w:ascii="Arial" w:hAnsi="Arial" w:cs="Arial"/>
          <w:sz w:val="20"/>
          <w:szCs w:val="20"/>
          <w:lang w:val="en-US"/>
        </w:rPr>
        <w:t xml:space="preserve"> programs</w:t>
      </w:r>
      <w:r w:rsidRPr="000E3543">
        <w:rPr>
          <w:rFonts w:ascii="Arial" w:hAnsi="Arial" w:cs="Arial"/>
          <w:sz w:val="20"/>
          <w:szCs w:val="20"/>
          <w:lang w:val="en-US"/>
        </w:rPr>
        <w:t>’ or ‘on hold</w:t>
      </w:r>
      <w:r w:rsidR="003B4852" w:rsidRPr="000E3543">
        <w:rPr>
          <w:rFonts w:ascii="Arial" w:hAnsi="Arial" w:cs="Arial"/>
          <w:sz w:val="20"/>
          <w:szCs w:val="20"/>
          <w:lang w:val="en-US"/>
        </w:rPr>
        <w:t xml:space="preserve"> programs</w:t>
      </w:r>
      <w:r w:rsidRPr="000E3543">
        <w:rPr>
          <w:rFonts w:ascii="Arial" w:hAnsi="Arial" w:cs="Arial"/>
          <w:sz w:val="20"/>
          <w:szCs w:val="20"/>
          <w:lang w:val="en-US"/>
        </w:rPr>
        <w:t>’. For</w:t>
      </w:r>
      <w:r>
        <w:rPr>
          <w:rFonts w:ascii="Arial" w:hAnsi="Arial" w:cs="Arial"/>
          <w:sz w:val="20"/>
          <w:szCs w:val="20"/>
          <w:lang w:val="en-US"/>
        </w:rPr>
        <w:t xml:space="preserve"> each of these programs, t</w:t>
      </w:r>
      <w:r w:rsidRPr="003579D2">
        <w:rPr>
          <w:rFonts w:ascii="Arial" w:hAnsi="Arial" w:cs="Arial"/>
          <w:sz w:val="20"/>
          <w:szCs w:val="20"/>
          <w:lang w:val="en-US"/>
        </w:rPr>
        <w:t xml:space="preserve">he ‘Summarized information for publication’ and the ‘Informed Consent Form’ that have been approved </w:t>
      </w:r>
      <w:r>
        <w:rPr>
          <w:rFonts w:ascii="Arial" w:hAnsi="Arial" w:cs="Arial"/>
          <w:sz w:val="20"/>
          <w:szCs w:val="20"/>
          <w:lang w:val="en-US"/>
        </w:rPr>
        <w:t>are</w:t>
      </w:r>
      <w:r w:rsidRPr="003579D2">
        <w:rPr>
          <w:rFonts w:ascii="Arial" w:hAnsi="Arial" w:cs="Arial"/>
          <w:sz w:val="20"/>
          <w:szCs w:val="20"/>
          <w:lang w:val="en-US"/>
        </w:rPr>
        <w:t xml:space="preserve"> published annexed to the official approval of the </w:t>
      </w:r>
      <w:r>
        <w:rPr>
          <w:rFonts w:ascii="Arial" w:hAnsi="Arial" w:cs="Arial"/>
          <w:sz w:val="20"/>
          <w:szCs w:val="20"/>
          <w:lang w:val="en-US"/>
        </w:rPr>
        <w:t>FAMHP.</w:t>
      </w:r>
    </w:p>
    <w:p w14:paraId="487FDADC" w14:textId="1F4BF6C8" w:rsidR="001A2067" w:rsidRPr="00CF6D93" w:rsidRDefault="001A2067" w:rsidP="001A2067">
      <w:pPr>
        <w:pStyle w:val="Lijstalinea"/>
        <w:numPr>
          <w:ilvl w:val="0"/>
          <w:numId w:val="1"/>
        </w:numPr>
        <w:spacing w:after="120"/>
        <w:ind w:left="714" w:hanging="357"/>
        <w:jc w:val="both"/>
        <w:rPr>
          <w:rFonts w:ascii="Arial" w:hAnsi="Arial" w:cs="Arial"/>
          <w:b/>
          <w:sz w:val="20"/>
          <w:szCs w:val="20"/>
          <w:lang w:val="en-US"/>
        </w:rPr>
      </w:pPr>
      <w:bookmarkStart w:id="23" w:name="_Ref1466342"/>
      <w:r w:rsidRPr="00CF6D93">
        <w:rPr>
          <w:rFonts w:ascii="Arial" w:hAnsi="Arial" w:cs="Arial"/>
          <w:b/>
          <w:sz w:val="20"/>
          <w:szCs w:val="20"/>
          <w:lang w:val="en-US"/>
        </w:rPr>
        <w:t xml:space="preserve">How should we notify when the </w:t>
      </w:r>
      <w:r w:rsidRPr="00DC36C2">
        <w:rPr>
          <w:rFonts w:ascii="Arial" w:hAnsi="Arial" w:cs="Arial"/>
          <w:b/>
          <w:sz w:val="20"/>
          <w:szCs w:val="20"/>
          <w:lang w:val="en-US"/>
        </w:rPr>
        <w:t xml:space="preserve">program </w:t>
      </w:r>
      <w:r w:rsidR="00275EAB" w:rsidRPr="00DC36C2">
        <w:rPr>
          <w:rFonts w:ascii="Arial" w:hAnsi="Arial" w:cs="Arial"/>
          <w:b/>
          <w:sz w:val="20"/>
          <w:szCs w:val="20"/>
          <w:lang w:val="en-US"/>
        </w:rPr>
        <w:t>will end</w:t>
      </w:r>
      <w:r w:rsidRPr="00DC36C2">
        <w:rPr>
          <w:rFonts w:ascii="Arial" w:hAnsi="Arial" w:cs="Arial"/>
          <w:b/>
          <w:sz w:val="20"/>
          <w:szCs w:val="20"/>
          <w:lang w:val="en-US"/>
        </w:rPr>
        <w:t>?</w:t>
      </w:r>
      <w:bookmarkEnd w:id="23"/>
    </w:p>
    <w:p w14:paraId="6BFC0A34" w14:textId="441C50E6" w:rsidR="001A2067" w:rsidRPr="00D2330D" w:rsidRDefault="001A2067" w:rsidP="00986492">
      <w:pPr>
        <w:spacing w:after="240"/>
        <w:ind w:left="720"/>
        <w:jc w:val="both"/>
        <w:rPr>
          <w:rStyle w:val="Hyperlink"/>
          <w:rFonts w:ascii="Arial" w:hAnsi="Arial" w:cs="Arial"/>
          <w:sz w:val="20"/>
          <w:szCs w:val="20"/>
          <w:lang w:val="en-US"/>
        </w:rPr>
      </w:pPr>
      <w:r w:rsidRPr="00A62475">
        <w:rPr>
          <w:rFonts w:ascii="Arial" w:hAnsi="Arial" w:cs="Arial"/>
          <w:sz w:val="20"/>
          <w:szCs w:val="20"/>
          <w:lang w:val="en-GB"/>
        </w:rPr>
        <w:t xml:space="preserve">If the program ends, a notification e-mail should be send to </w:t>
      </w:r>
      <w:hyperlink r:id="rId13" w:history="1">
        <w:r w:rsidRPr="00D2330D">
          <w:rPr>
            <w:rStyle w:val="Hyperlink"/>
            <w:rFonts w:ascii="Arial" w:hAnsi="Arial" w:cs="Arial"/>
            <w:sz w:val="20"/>
            <w:szCs w:val="20"/>
            <w:lang w:val="en-US"/>
          </w:rPr>
          <w:t>umn@afmps-fagg.be</w:t>
        </w:r>
      </w:hyperlink>
      <w:r w:rsidRPr="00A62475">
        <w:rPr>
          <w:rFonts w:ascii="Arial" w:hAnsi="Arial" w:cs="Arial"/>
          <w:sz w:val="20"/>
          <w:szCs w:val="20"/>
          <w:lang w:val="en-GB"/>
        </w:rPr>
        <w:t>.</w:t>
      </w:r>
      <w:r w:rsidR="005A5C97">
        <w:rPr>
          <w:rFonts w:ascii="Arial" w:hAnsi="Arial" w:cs="Arial"/>
          <w:sz w:val="20"/>
          <w:szCs w:val="20"/>
          <w:lang w:val="en-GB"/>
        </w:rPr>
        <w:t xml:space="preserve"> </w:t>
      </w:r>
      <w:r w:rsidR="005A5C97" w:rsidRPr="00381E79">
        <w:rPr>
          <w:rFonts w:ascii="Arial" w:hAnsi="Arial" w:cs="Arial"/>
          <w:color w:val="000000" w:themeColor="text1"/>
          <w:sz w:val="20"/>
          <w:szCs w:val="20"/>
          <w:lang w:val="en-GB"/>
        </w:rPr>
        <w:t xml:space="preserve">Please indicate in this e-mail the motivation for ending the program, the number of patients that have been included in the program, the number of patients that are still </w:t>
      </w:r>
      <w:r w:rsidR="006F2212" w:rsidRPr="00381E79">
        <w:rPr>
          <w:rFonts w:ascii="Arial" w:hAnsi="Arial" w:cs="Arial"/>
          <w:color w:val="000000" w:themeColor="text1"/>
          <w:sz w:val="20"/>
          <w:szCs w:val="20"/>
          <w:lang w:val="en-GB"/>
        </w:rPr>
        <w:t xml:space="preserve">treated </w:t>
      </w:r>
      <w:r w:rsidR="005A5C97" w:rsidRPr="00381E79">
        <w:rPr>
          <w:rFonts w:ascii="Arial" w:hAnsi="Arial" w:cs="Arial"/>
          <w:color w:val="000000" w:themeColor="text1"/>
          <w:sz w:val="20"/>
          <w:szCs w:val="20"/>
          <w:lang w:val="en-GB"/>
        </w:rPr>
        <w:t>and will be further provided with the medicinal product after the end of the program.</w:t>
      </w:r>
      <w:r w:rsidRPr="00381E79">
        <w:rPr>
          <w:rFonts w:ascii="Arial" w:hAnsi="Arial" w:cs="Arial"/>
          <w:color w:val="000000" w:themeColor="text1"/>
          <w:sz w:val="20"/>
          <w:szCs w:val="20"/>
          <w:lang w:val="en-GB"/>
        </w:rPr>
        <w:t xml:space="preserve"> </w:t>
      </w:r>
      <w:r w:rsidRPr="00A62475">
        <w:rPr>
          <w:rFonts w:ascii="Arial" w:hAnsi="Arial" w:cs="Arial"/>
          <w:sz w:val="20"/>
          <w:szCs w:val="20"/>
          <w:lang w:val="en-GB"/>
        </w:rPr>
        <w:t>Once the program is ended, pharmacovigilance data should no longer be sent in the frame of t</w:t>
      </w:r>
      <w:r w:rsidR="003B4852">
        <w:rPr>
          <w:rFonts w:ascii="Arial" w:hAnsi="Arial" w:cs="Arial"/>
          <w:sz w:val="20"/>
          <w:szCs w:val="20"/>
          <w:lang w:val="en-GB"/>
        </w:rPr>
        <w:t>he re-evaluation of the program however the applicant stays responsible for the implementation of the program for the patients</w:t>
      </w:r>
      <w:r w:rsidR="00DC36C2">
        <w:rPr>
          <w:rFonts w:ascii="Arial" w:hAnsi="Arial" w:cs="Arial"/>
          <w:sz w:val="20"/>
          <w:szCs w:val="20"/>
          <w:lang w:val="en-GB"/>
        </w:rPr>
        <w:t xml:space="preserve"> </w:t>
      </w:r>
      <w:r w:rsidR="003B4852">
        <w:rPr>
          <w:rFonts w:ascii="Arial" w:hAnsi="Arial" w:cs="Arial"/>
          <w:sz w:val="20"/>
          <w:szCs w:val="20"/>
          <w:lang w:val="en-GB"/>
        </w:rPr>
        <w:t>included before the date of termination of the program unless the medicinal product</w:t>
      </w:r>
      <w:r w:rsidR="00DC36C2">
        <w:rPr>
          <w:rFonts w:ascii="Arial" w:hAnsi="Arial" w:cs="Arial"/>
          <w:sz w:val="20"/>
          <w:szCs w:val="20"/>
          <w:lang w:val="en-GB"/>
        </w:rPr>
        <w:t xml:space="preserve"> is available on the market. </w:t>
      </w:r>
      <w:r w:rsidRPr="00D2330D">
        <w:rPr>
          <w:rStyle w:val="Hyperlink"/>
          <w:rFonts w:ascii="Arial" w:hAnsi="Arial" w:cs="Arial"/>
          <w:sz w:val="20"/>
          <w:szCs w:val="20"/>
          <w:lang w:val="en-US"/>
        </w:rPr>
        <w:t xml:space="preserve"> </w:t>
      </w:r>
    </w:p>
    <w:p w14:paraId="3F205664" w14:textId="77777777" w:rsidR="001A2067" w:rsidRPr="003579D2" w:rsidRDefault="001A2067" w:rsidP="001A2067">
      <w:pPr>
        <w:pStyle w:val="Lijstalinea"/>
        <w:numPr>
          <w:ilvl w:val="0"/>
          <w:numId w:val="1"/>
        </w:numPr>
        <w:spacing w:before="120" w:after="120"/>
        <w:ind w:left="714" w:hanging="357"/>
        <w:jc w:val="both"/>
        <w:rPr>
          <w:rFonts w:ascii="Arial" w:hAnsi="Arial" w:cs="Arial"/>
          <w:b/>
          <w:sz w:val="20"/>
          <w:szCs w:val="20"/>
          <w:lang w:val="en-US"/>
        </w:rPr>
      </w:pPr>
      <w:bookmarkStart w:id="24" w:name="_Ref1466344"/>
      <w:r w:rsidRPr="003579D2">
        <w:rPr>
          <w:rFonts w:ascii="Arial" w:hAnsi="Arial" w:cs="Arial"/>
          <w:b/>
          <w:sz w:val="20"/>
          <w:szCs w:val="20"/>
          <w:lang w:val="en-US"/>
        </w:rPr>
        <w:t>Does a CUP has to switch to a MNP when Marketing Authorization is received?</w:t>
      </w:r>
      <w:bookmarkEnd w:id="24"/>
      <w:r w:rsidRPr="003579D2">
        <w:rPr>
          <w:rFonts w:ascii="Arial" w:hAnsi="Arial" w:cs="Arial"/>
          <w:b/>
          <w:sz w:val="20"/>
          <w:szCs w:val="20"/>
          <w:lang w:val="en-US"/>
        </w:rPr>
        <w:t xml:space="preserve"> </w:t>
      </w:r>
    </w:p>
    <w:p w14:paraId="0A7F2FA2" w14:textId="255CBCF3" w:rsidR="001A2067" w:rsidRDefault="001A2067" w:rsidP="008270F7">
      <w:pPr>
        <w:spacing w:before="120" w:after="240"/>
        <w:ind w:left="714"/>
        <w:jc w:val="both"/>
        <w:rPr>
          <w:rFonts w:ascii="Arial" w:hAnsi="Arial" w:cs="Arial"/>
          <w:sz w:val="20"/>
          <w:szCs w:val="20"/>
          <w:lang w:val="en-US"/>
        </w:rPr>
      </w:pPr>
      <w:r w:rsidRPr="003579D2">
        <w:rPr>
          <w:rFonts w:ascii="Arial" w:hAnsi="Arial" w:cs="Arial"/>
          <w:sz w:val="20"/>
          <w:szCs w:val="20"/>
          <w:lang w:val="en-US"/>
        </w:rPr>
        <w:t xml:space="preserve">A CUP approved </w:t>
      </w:r>
      <w:r w:rsidRPr="00381E79">
        <w:rPr>
          <w:rFonts w:ascii="Arial" w:hAnsi="Arial" w:cs="Arial"/>
          <w:color w:val="000000" w:themeColor="text1"/>
          <w:sz w:val="20"/>
          <w:szCs w:val="20"/>
          <w:lang w:val="en-US"/>
        </w:rPr>
        <w:t xml:space="preserve">according to the legislation </w:t>
      </w:r>
      <w:r w:rsidR="00E87110">
        <w:rPr>
          <w:rFonts w:ascii="Arial" w:hAnsi="Arial" w:cs="Arial"/>
          <w:color w:val="000000" w:themeColor="text1"/>
          <w:sz w:val="20"/>
          <w:szCs w:val="20"/>
          <w:lang w:val="en-US"/>
        </w:rPr>
        <w:t>of 25 April 20</w:t>
      </w:r>
      <w:r w:rsidR="003A47B3">
        <w:rPr>
          <w:rFonts w:ascii="Arial" w:hAnsi="Arial" w:cs="Arial"/>
          <w:color w:val="000000" w:themeColor="text1"/>
          <w:sz w:val="20"/>
          <w:szCs w:val="20"/>
          <w:lang w:val="en-US"/>
        </w:rPr>
        <w:t>1</w:t>
      </w:r>
      <w:r w:rsidR="00E87110">
        <w:rPr>
          <w:rFonts w:ascii="Arial" w:hAnsi="Arial" w:cs="Arial"/>
          <w:color w:val="000000" w:themeColor="text1"/>
          <w:sz w:val="20"/>
          <w:szCs w:val="20"/>
          <w:lang w:val="en-US"/>
        </w:rPr>
        <w:t>4</w:t>
      </w:r>
      <w:r w:rsidRPr="003579D2">
        <w:rPr>
          <w:rFonts w:ascii="Arial" w:hAnsi="Arial" w:cs="Arial"/>
          <w:sz w:val="20"/>
          <w:szCs w:val="20"/>
          <w:lang w:val="en-US"/>
        </w:rPr>
        <w:t xml:space="preserve"> can continue to run at the moment a Marketing Authorization is obtained. The CUP can run until the product comes effectively on the market. If a Marketing Authorization is granted after the application for a CUP but before the CUP is authorized, it will be categorized as a CUP.</w:t>
      </w:r>
    </w:p>
    <w:p w14:paraId="1B343169" w14:textId="2972AFA1" w:rsidR="00BA1648" w:rsidRPr="007D0E69" w:rsidRDefault="00BA1648" w:rsidP="007D0E69">
      <w:pPr>
        <w:pStyle w:val="Lijstalinea"/>
        <w:numPr>
          <w:ilvl w:val="0"/>
          <w:numId w:val="1"/>
        </w:numPr>
        <w:spacing w:after="120"/>
        <w:ind w:left="714" w:hanging="357"/>
        <w:rPr>
          <w:rFonts w:ascii="Arial" w:hAnsi="Arial" w:cs="Arial"/>
          <w:b/>
          <w:sz w:val="20"/>
          <w:szCs w:val="20"/>
          <w:lang w:val="en-US"/>
        </w:rPr>
      </w:pPr>
      <w:r w:rsidRPr="007D0E69">
        <w:rPr>
          <w:rFonts w:ascii="Arial" w:hAnsi="Arial" w:cs="Arial"/>
          <w:b/>
          <w:sz w:val="20"/>
          <w:szCs w:val="20"/>
          <w:lang w:val="en-US"/>
        </w:rPr>
        <w:lastRenderedPageBreak/>
        <w:t>How to proceed if the applicant considers that the enlargement of the unmet medical need definition (new legislation entered into force on 13/12/2020) would conduct to a substantial amendment in an ongoing program?</w:t>
      </w:r>
    </w:p>
    <w:p w14:paraId="3C5850A0" w14:textId="39E4A64E" w:rsidR="00BA1648" w:rsidRPr="007D0E69" w:rsidRDefault="00BA1648" w:rsidP="008A1322">
      <w:pPr>
        <w:pStyle w:val="Lijstalinea"/>
        <w:spacing w:before="120" w:after="240"/>
        <w:rPr>
          <w:rFonts w:ascii="Arial" w:hAnsi="Arial" w:cs="Arial"/>
          <w:color w:val="000000" w:themeColor="text1"/>
          <w:sz w:val="20"/>
          <w:szCs w:val="20"/>
          <w:lang w:val="en-US"/>
        </w:rPr>
      </w:pPr>
      <w:r w:rsidRPr="007D0E69">
        <w:rPr>
          <w:rFonts w:ascii="Arial" w:hAnsi="Arial" w:cs="Arial"/>
          <w:color w:val="000000" w:themeColor="text1"/>
          <w:sz w:val="20"/>
          <w:szCs w:val="20"/>
          <w:lang w:val="en-US"/>
        </w:rPr>
        <w:t xml:space="preserve">In this case, the applicant can submit a substantial amendment as described in chapter V. of our </w:t>
      </w:r>
      <w:hyperlink r:id="rId14" w:history="1">
        <w:r w:rsidRPr="008A1322">
          <w:rPr>
            <w:rFonts w:ascii="Arial" w:hAnsi="Arial" w:cs="Arial"/>
            <w:color w:val="000000" w:themeColor="text1"/>
            <w:sz w:val="20"/>
            <w:szCs w:val="20"/>
            <w:lang w:val="en-GB"/>
          </w:rPr>
          <w:t>guidance</w:t>
        </w:r>
      </w:hyperlink>
      <w:r w:rsidRPr="008A1322">
        <w:rPr>
          <w:rFonts w:ascii="Arial" w:hAnsi="Arial" w:cs="Arial"/>
          <w:color w:val="000000" w:themeColor="text1"/>
          <w:sz w:val="20"/>
          <w:szCs w:val="20"/>
          <w:lang w:val="en-GB"/>
        </w:rPr>
        <w:t>.</w:t>
      </w:r>
    </w:p>
    <w:p w14:paraId="2BC56393" w14:textId="77777777" w:rsidR="001A2067" w:rsidRPr="00360D3C" w:rsidRDefault="001A2067" w:rsidP="00587079">
      <w:pPr>
        <w:pStyle w:val="Kop1"/>
        <w:numPr>
          <w:ilvl w:val="0"/>
          <w:numId w:val="2"/>
        </w:numPr>
        <w:spacing w:before="360" w:after="240"/>
        <w:ind w:left="567" w:hanging="425"/>
        <w:jc w:val="both"/>
        <w:rPr>
          <w:rStyle w:val="Zwaar"/>
          <w:rFonts w:ascii="Arial" w:hAnsi="Arial" w:cs="Arial"/>
          <w:b/>
          <w:color w:val="auto"/>
          <w:sz w:val="24"/>
          <w:szCs w:val="24"/>
          <w:u w:val="single"/>
          <w:lang w:val="en-US"/>
        </w:rPr>
      </w:pPr>
      <w:bookmarkStart w:id="25" w:name="_Ref1466345"/>
      <w:r w:rsidRPr="00360D3C">
        <w:rPr>
          <w:rStyle w:val="Zwaar"/>
          <w:rFonts w:ascii="Arial" w:hAnsi="Arial" w:cs="Arial"/>
          <w:b/>
          <w:color w:val="auto"/>
          <w:sz w:val="24"/>
          <w:szCs w:val="24"/>
          <w:u w:val="single"/>
          <w:lang w:val="en-US"/>
        </w:rPr>
        <w:t>Pharmacovigilance</w:t>
      </w:r>
      <w:bookmarkEnd w:id="25"/>
    </w:p>
    <w:p w14:paraId="4E89C0CA" w14:textId="2A58E5B7" w:rsidR="001A2067" w:rsidRPr="00360D3C" w:rsidRDefault="001A2067" w:rsidP="00D4363F">
      <w:pPr>
        <w:pStyle w:val="Lijstalinea"/>
        <w:numPr>
          <w:ilvl w:val="0"/>
          <w:numId w:val="1"/>
        </w:numPr>
        <w:spacing w:after="120"/>
        <w:ind w:left="714" w:hanging="357"/>
        <w:jc w:val="both"/>
        <w:rPr>
          <w:rFonts w:ascii="Arial" w:hAnsi="Arial" w:cs="Arial"/>
          <w:b/>
          <w:sz w:val="20"/>
          <w:szCs w:val="20"/>
          <w:lang w:val="en-US"/>
        </w:rPr>
      </w:pPr>
      <w:bookmarkStart w:id="26" w:name="_Ref1466347"/>
      <w:r w:rsidRPr="00360D3C">
        <w:rPr>
          <w:rFonts w:ascii="Arial" w:hAnsi="Arial" w:cs="Arial"/>
          <w:b/>
          <w:sz w:val="20"/>
          <w:szCs w:val="20"/>
          <w:lang w:val="en-US"/>
        </w:rPr>
        <w:t>If a program ends before the deadline for notification of the pharmacovigilance data, should this notification still be done</w:t>
      </w:r>
      <w:bookmarkEnd w:id="26"/>
      <w:r w:rsidR="00275EAB">
        <w:rPr>
          <w:rFonts w:ascii="Arial" w:hAnsi="Arial" w:cs="Arial"/>
          <w:b/>
          <w:sz w:val="20"/>
          <w:szCs w:val="20"/>
          <w:lang w:val="en-US"/>
        </w:rPr>
        <w:t>?</w:t>
      </w:r>
    </w:p>
    <w:p w14:paraId="15B5DCAD" w14:textId="71C97CDB" w:rsidR="001A2067" w:rsidRDefault="001A2067" w:rsidP="001A2067">
      <w:pPr>
        <w:pStyle w:val="Lijstalinea"/>
        <w:spacing w:after="240"/>
        <w:rPr>
          <w:rFonts w:ascii="Arial" w:hAnsi="Arial" w:cs="Arial"/>
          <w:sz w:val="20"/>
          <w:szCs w:val="20"/>
          <w:lang w:val="en-US"/>
        </w:rPr>
      </w:pPr>
      <w:r w:rsidRPr="00E602A4">
        <w:rPr>
          <w:rFonts w:ascii="Arial" w:hAnsi="Arial" w:cs="Arial"/>
          <w:sz w:val="20"/>
          <w:szCs w:val="20"/>
          <w:lang w:val="en-US"/>
        </w:rPr>
        <w:t>Periodical pharmacovigilance data should only be</w:t>
      </w:r>
      <w:r>
        <w:rPr>
          <w:rFonts w:ascii="Arial" w:hAnsi="Arial" w:cs="Arial"/>
          <w:sz w:val="20"/>
          <w:szCs w:val="20"/>
          <w:lang w:val="en-US"/>
        </w:rPr>
        <w:t xml:space="preserve"> notified</w:t>
      </w:r>
      <w:r w:rsidRPr="00E602A4">
        <w:rPr>
          <w:rFonts w:ascii="Arial" w:hAnsi="Arial" w:cs="Arial"/>
          <w:sz w:val="20"/>
          <w:szCs w:val="20"/>
          <w:lang w:val="en-US"/>
        </w:rPr>
        <w:t xml:space="preserve"> </w:t>
      </w:r>
      <w:r>
        <w:rPr>
          <w:rFonts w:ascii="Arial" w:hAnsi="Arial" w:cs="Arial"/>
          <w:sz w:val="20"/>
          <w:szCs w:val="20"/>
          <w:lang w:val="en-US"/>
        </w:rPr>
        <w:t xml:space="preserve">if the program is ongoing (open for new patients). The applicant should notify the FAMHP regarding the end of the program (see question </w:t>
      </w:r>
      <w:r w:rsidR="000F5665">
        <w:rPr>
          <w:rFonts w:ascii="Arial" w:hAnsi="Arial" w:cs="Arial"/>
          <w:sz w:val="20"/>
          <w:szCs w:val="20"/>
          <w:lang w:val="en-US"/>
        </w:rPr>
        <w:t>19</w:t>
      </w:r>
      <w:r>
        <w:rPr>
          <w:rFonts w:ascii="Arial" w:hAnsi="Arial" w:cs="Arial"/>
          <w:sz w:val="20"/>
          <w:szCs w:val="20"/>
          <w:lang w:val="en-US"/>
        </w:rPr>
        <w:t>).</w:t>
      </w:r>
    </w:p>
    <w:p w14:paraId="7CDFA3C6" w14:textId="77777777" w:rsidR="001A2067" w:rsidRDefault="001A2067" w:rsidP="00D4363F">
      <w:pPr>
        <w:pStyle w:val="Lijstalinea"/>
        <w:numPr>
          <w:ilvl w:val="0"/>
          <w:numId w:val="1"/>
        </w:numPr>
        <w:spacing w:after="120"/>
        <w:ind w:left="714" w:hanging="357"/>
        <w:jc w:val="both"/>
        <w:rPr>
          <w:rFonts w:ascii="Arial" w:hAnsi="Arial" w:cs="Arial"/>
          <w:b/>
          <w:sz w:val="20"/>
          <w:szCs w:val="20"/>
          <w:lang w:val="en-US"/>
        </w:rPr>
      </w:pPr>
      <w:bookmarkStart w:id="27" w:name="_Ref1466348"/>
      <w:r>
        <w:rPr>
          <w:rFonts w:ascii="Arial" w:hAnsi="Arial" w:cs="Arial"/>
          <w:b/>
          <w:sz w:val="20"/>
          <w:szCs w:val="20"/>
          <w:lang w:val="en-US"/>
        </w:rPr>
        <w:t>Will the pharmacovigilance timelines change, i</w:t>
      </w:r>
      <w:r w:rsidRPr="00CF6D93">
        <w:rPr>
          <w:rFonts w:ascii="Arial" w:hAnsi="Arial" w:cs="Arial"/>
          <w:b/>
          <w:sz w:val="20"/>
          <w:szCs w:val="20"/>
          <w:lang w:val="en-US"/>
        </w:rPr>
        <w:t xml:space="preserve">f </w:t>
      </w:r>
      <w:r>
        <w:rPr>
          <w:rFonts w:ascii="Arial" w:hAnsi="Arial" w:cs="Arial"/>
          <w:b/>
          <w:sz w:val="20"/>
          <w:szCs w:val="20"/>
          <w:lang w:val="en-US"/>
        </w:rPr>
        <w:t>during a program, MA is requested at EMA (for the same medicinal product in the same indication)?</w:t>
      </w:r>
      <w:bookmarkEnd w:id="27"/>
      <w:r>
        <w:rPr>
          <w:rFonts w:ascii="Arial" w:hAnsi="Arial" w:cs="Arial"/>
          <w:b/>
          <w:sz w:val="20"/>
          <w:szCs w:val="20"/>
          <w:lang w:val="en-US"/>
        </w:rPr>
        <w:t xml:space="preserve">  </w:t>
      </w:r>
    </w:p>
    <w:p w14:paraId="10F778E6" w14:textId="3C1951BA" w:rsidR="001A2067" w:rsidRDefault="001A2067" w:rsidP="00986492">
      <w:pPr>
        <w:pStyle w:val="Lijstalinea"/>
        <w:spacing w:after="240"/>
        <w:jc w:val="both"/>
        <w:rPr>
          <w:rFonts w:ascii="Arial" w:hAnsi="Arial" w:cs="Arial"/>
          <w:sz w:val="20"/>
          <w:szCs w:val="20"/>
          <w:lang w:val="en-US"/>
        </w:rPr>
      </w:pPr>
      <w:r w:rsidRPr="00CF6D93">
        <w:rPr>
          <w:rFonts w:ascii="Arial" w:hAnsi="Arial" w:cs="Arial"/>
          <w:sz w:val="20"/>
          <w:szCs w:val="20"/>
          <w:lang w:val="en-US"/>
        </w:rPr>
        <w:t xml:space="preserve">Yes, however the </w:t>
      </w:r>
      <w:r w:rsidRPr="004C5481">
        <w:rPr>
          <w:rFonts w:ascii="Arial" w:hAnsi="Arial" w:cs="Arial"/>
          <w:sz w:val="20"/>
          <w:szCs w:val="20"/>
          <w:lang w:val="en-US"/>
        </w:rPr>
        <w:t>up</w:t>
      </w:r>
      <w:r>
        <w:rPr>
          <w:rFonts w:ascii="Arial" w:hAnsi="Arial" w:cs="Arial"/>
          <w:sz w:val="20"/>
          <w:szCs w:val="20"/>
          <w:lang w:val="en-US"/>
        </w:rPr>
        <w:t>coming</w:t>
      </w:r>
      <w:r w:rsidRPr="00CF6D93">
        <w:rPr>
          <w:rFonts w:ascii="Arial" w:hAnsi="Arial" w:cs="Arial"/>
          <w:sz w:val="20"/>
          <w:szCs w:val="20"/>
          <w:lang w:val="en-US"/>
        </w:rPr>
        <w:t xml:space="preserve"> deadline for pharmacovigilance reporting (6 months after approval or re-evaluation) is kept. From then on</w:t>
      </w:r>
      <w:r>
        <w:rPr>
          <w:rFonts w:ascii="Arial" w:hAnsi="Arial" w:cs="Arial"/>
          <w:sz w:val="20"/>
          <w:szCs w:val="20"/>
          <w:lang w:val="en-US"/>
        </w:rPr>
        <w:t>,</w:t>
      </w:r>
      <w:r w:rsidRPr="00CF6D93">
        <w:rPr>
          <w:rFonts w:ascii="Arial" w:hAnsi="Arial" w:cs="Arial"/>
          <w:sz w:val="20"/>
          <w:szCs w:val="20"/>
          <w:lang w:val="en-US"/>
        </w:rPr>
        <w:t xml:space="preserve"> yearly reporting is planned. </w:t>
      </w:r>
    </w:p>
    <w:p w14:paraId="00E5C090" w14:textId="77777777" w:rsidR="001A2067" w:rsidRPr="00A62475" w:rsidRDefault="001A2067" w:rsidP="00587079">
      <w:pPr>
        <w:pStyle w:val="Kop1"/>
        <w:numPr>
          <w:ilvl w:val="0"/>
          <w:numId w:val="2"/>
        </w:numPr>
        <w:spacing w:before="360" w:after="240"/>
        <w:ind w:left="567" w:hanging="425"/>
        <w:jc w:val="both"/>
        <w:rPr>
          <w:rStyle w:val="Zwaar"/>
          <w:rFonts w:ascii="Arial" w:hAnsi="Arial" w:cs="Arial"/>
          <w:b/>
          <w:color w:val="auto"/>
          <w:sz w:val="24"/>
          <w:szCs w:val="24"/>
          <w:u w:val="single"/>
          <w:lang w:val="en-US"/>
        </w:rPr>
      </w:pPr>
      <w:bookmarkStart w:id="28" w:name="_Ref1466349"/>
      <w:r w:rsidRPr="00A62475">
        <w:rPr>
          <w:rStyle w:val="Zwaar"/>
          <w:rFonts w:ascii="Arial" w:hAnsi="Arial" w:cs="Arial"/>
          <w:b/>
          <w:color w:val="auto"/>
          <w:sz w:val="24"/>
          <w:szCs w:val="24"/>
          <w:u w:val="single"/>
          <w:lang w:val="en-US"/>
        </w:rPr>
        <w:t>Urgent situations</w:t>
      </w:r>
      <w:bookmarkEnd w:id="28"/>
    </w:p>
    <w:p w14:paraId="0918FFD9" w14:textId="77777777" w:rsidR="001A2067" w:rsidRPr="0096030B" w:rsidRDefault="001A2067" w:rsidP="001A2067">
      <w:pPr>
        <w:pStyle w:val="Lijstalinea"/>
        <w:numPr>
          <w:ilvl w:val="0"/>
          <w:numId w:val="1"/>
        </w:numPr>
        <w:spacing w:after="120"/>
        <w:ind w:left="714" w:hanging="357"/>
        <w:rPr>
          <w:rFonts w:ascii="Arial" w:hAnsi="Arial" w:cs="Arial"/>
          <w:b/>
          <w:sz w:val="20"/>
          <w:szCs w:val="20"/>
          <w:lang w:val="en-US"/>
        </w:rPr>
      </w:pPr>
      <w:bookmarkStart w:id="29" w:name="_Ref1466351"/>
      <w:r w:rsidRPr="0096030B">
        <w:rPr>
          <w:rFonts w:ascii="Arial" w:hAnsi="Arial" w:cs="Arial"/>
          <w:b/>
          <w:sz w:val="20"/>
          <w:szCs w:val="20"/>
          <w:lang w:val="en-US"/>
        </w:rPr>
        <w:t>Can the Urgent Procedure be used if the medicinal product can be imported?</w:t>
      </w:r>
      <w:bookmarkEnd w:id="29"/>
    </w:p>
    <w:p w14:paraId="1F1BEFC4" w14:textId="40EA92A7" w:rsidR="001A2067" w:rsidRDefault="001A2067" w:rsidP="001A2067">
      <w:pPr>
        <w:pStyle w:val="Lijstalinea"/>
        <w:spacing w:before="120" w:after="240"/>
        <w:jc w:val="both"/>
        <w:rPr>
          <w:rFonts w:ascii="Arial" w:hAnsi="Arial" w:cs="Arial"/>
          <w:sz w:val="20"/>
          <w:szCs w:val="20"/>
          <w:lang w:val="en-US"/>
        </w:rPr>
      </w:pPr>
      <w:r w:rsidRPr="0096030B">
        <w:rPr>
          <w:rFonts w:ascii="Arial" w:hAnsi="Arial" w:cs="Arial"/>
          <w:sz w:val="20"/>
          <w:szCs w:val="20"/>
          <w:lang w:val="en-US"/>
        </w:rPr>
        <w:t xml:space="preserve">No, if the medicinal product can be imported in time, the Urgent Procedure cannot be used but the product needs to be imported. </w:t>
      </w:r>
      <w:r w:rsidR="00DA107D">
        <w:rPr>
          <w:rFonts w:ascii="Arial" w:hAnsi="Arial" w:cs="Arial"/>
          <w:sz w:val="20"/>
          <w:szCs w:val="20"/>
          <w:lang w:val="en-US"/>
        </w:rPr>
        <w:t>The application of Art. 105 of the RD of 14/12/2006 for importation is applicable for import from any country in which the medicinal product is authorized.</w:t>
      </w:r>
    </w:p>
    <w:p w14:paraId="13CA40DD" w14:textId="1EDCDECB" w:rsidR="003A47B3" w:rsidRPr="00A45BD0" w:rsidRDefault="003A47B3" w:rsidP="00A45BD0">
      <w:pPr>
        <w:pStyle w:val="Lijstalinea"/>
        <w:numPr>
          <w:ilvl w:val="0"/>
          <w:numId w:val="1"/>
        </w:numPr>
        <w:spacing w:after="120"/>
        <w:ind w:left="714" w:hanging="357"/>
        <w:rPr>
          <w:rFonts w:ascii="Arial" w:hAnsi="Arial" w:cs="Arial"/>
          <w:b/>
          <w:sz w:val="20"/>
          <w:szCs w:val="20"/>
          <w:lang w:val="en-US"/>
        </w:rPr>
      </w:pPr>
      <w:bookmarkStart w:id="30" w:name="_Ref14780940"/>
      <w:r w:rsidRPr="00A45BD0">
        <w:rPr>
          <w:rFonts w:ascii="Arial" w:hAnsi="Arial" w:cs="Arial"/>
          <w:b/>
          <w:sz w:val="20"/>
          <w:szCs w:val="20"/>
          <w:lang w:val="en-US"/>
        </w:rPr>
        <w:t>Can the Urgent Procedure be used if the medicinal product is commercially available in Belgium?</w:t>
      </w:r>
      <w:bookmarkEnd w:id="30"/>
    </w:p>
    <w:p w14:paraId="63B5EDF1" w14:textId="4E78E411" w:rsidR="003A47B3" w:rsidRPr="0096030B" w:rsidRDefault="003A47B3" w:rsidP="001A2067">
      <w:pPr>
        <w:pStyle w:val="Lijstalinea"/>
        <w:spacing w:before="120" w:after="240"/>
        <w:jc w:val="both"/>
        <w:rPr>
          <w:rFonts w:ascii="Arial" w:hAnsi="Arial" w:cs="Arial"/>
          <w:sz w:val="20"/>
          <w:szCs w:val="20"/>
          <w:lang w:val="en-US"/>
        </w:rPr>
      </w:pPr>
      <w:r>
        <w:rPr>
          <w:rFonts w:ascii="Arial" w:hAnsi="Arial" w:cs="Arial"/>
          <w:sz w:val="20"/>
          <w:szCs w:val="20"/>
          <w:lang w:val="en-US"/>
        </w:rPr>
        <w:t xml:space="preserve">No, one of the conditions of Art. 107/1 is that the patient </w:t>
      </w:r>
      <w:r w:rsidR="00194900">
        <w:rPr>
          <w:rFonts w:ascii="Arial" w:hAnsi="Arial" w:cs="Arial"/>
          <w:sz w:val="20"/>
          <w:szCs w:val="20"/>
          <w:lang w:val="en-US"/>
        </w:rPr>
        <w:t>cannot</w:t>
      </w:r>
      <w:r>
        <w:rPr>
          <w:rFonts w:ascii="Arial" w:hAnsi="Arial" w:cs="Arial"/>
          <w:sz w:val="20"/>
          <w:szCs w:val="20"/>
          <w:lang w:val="en-US"/>
        </w:rPr>
        <w:t xml:space="preserve"> be treated with a medicinal product that is commercially available or under hospital exemption, or with a magisterial preparation.  </w:t>
      </w:r>
    </w:p>
    <w:p w14:paraId="4EC541B7" w14:textId="164D265F" w:rsidR="001A2067" w:rsidRPr="0096030B" w:rsidRDefault="001A2067" w:rsidP="004C32C9">
      <w:pPr>
        <w:pStyle w:val="Lijstalinea"/>
        <w:numPr>
          <w:ilvl w:val="0"/>
          <w:numId w:val="1"/>
        </w:numPr>
        <w:spacing w:after="120"/>
        <w:ind w:left="714" w:hanging="357"/>
        <w:jc w:val="both"/>
        <w:rPr>
          <w:rFonts w:ascii="Arial" w:hAnsi="Arial" w:cs="Arial"/>
          <w:b/>
          <w:sz w:val="20"/>
          <w:szCs w:val="20"/>
          <w:lang w:val="en-US"/>
        </w:rPr>
      </w:pPr>
      <w:bookmarkStart w:id="31" w:name="_Ref1398248"/>
      <w:r w:rsidRPr="0096030B">
        <w:rPr>
          <w:rFonts w:ascii="Arial" w:hAnsi="Arial" w:cs="Arial"/>
          <w:b/>
          <w:sz w:val="20"/>
          <w:szCs w:val="20"/>
          <w:lang w:val="en-US"/>
        </w:rPr>
        <w:t>Is Pharmacovigilance Reporting necessary for medicinal product used in an Urgent Situation?</w:t>
      </w:r>
      <w:bookmarkEnd w:id="31"/>
    </w:p>
    <w:p w14:paraId="0F913AEB" w14:textId="752896AF" w:rsidR="00AF1F0B" w:rsidRDefault="00587079" w:rsidP="00986492">
      <w:pPr>
        <w:pStyle w:val="Lijstalinea"/>
        <w:spacing w:after="240"/>
        <w:jc w:val="both"/>
        <w:rPr>
          <w:rFonts w:ascii="Arial" w:hAnsi="Arial" w:cs="Arial"/>
          <w:sz w:val="20"/>
          <w:szCs w:val="20"/>
          <w:lang w:val="en-US"/>
        </w:rPr>
      </w:pPr>
      <w:r>
        <w:rPr>
          <w:rFonts w:ascii="Arial" w:hAnsi="Arial" w:cs="Arial"/>
          <w:sz w:val="20"/>
          <w:szCs w:val="20"/>
          <w:lang w:val="en-US"/>
        </w:rPr>
        <w:t>For medicinal products used according to art. 107/1 (urgent situations), t</w:t>
      </w:r>
      <w:r w:rsidR="00680F08" w:rsidRPr="00680F08">
        <w:rPr>
          <w:rFonts w:ascii="Arial" w:hAnsi="Arial" w:cs="Arial"/>
          <w:sz w:val="20"/>
          <w:szCs w:val="20"/>
          <w:lang w:val="en-US"/>
        </w:rPr>
        <w:t xml:space="preserve">here is no need for pharmacovigilance reporting </w:t>
      </w:r>
      <w:r w:rsidRPr="00680F08">
        <w:rPr>
          <w:rFonts w:ascii="Arial" w:hAnsi="Arial" w:cs="Arial"/>
          <w:sz w:val="20"/>
          <w:szCs w:val="20"/>
          <w:lang w:val="en-US"/>
        </w:rPr>
        <w:t xml:space="preserve">to the </w:t>
      </w:r>
      <w:r w:rsidRPr="00587079">
        <w:rPr>
          <w:rFonts w:ascii="Arial" w:hAnsi="Arial" w:cs="Arial"/>
          <w:sz w:val="20"/>
          <w:szCs w:val="20"/>
          <w:lang w:val="en-US"/>
        </w:rPr>
        <w:t xml:space="preserve">UMN division of the FAMHP </w:t>
      </w:r>
      <w:r w:rsidR="00680F08" w:rsidRPr="00587079">
        <w:rPr>
          <w:rFonts w:ascii="Arial" w:hAnsi="Arial" w:cs="Arial"/>
          <w:sz w:val="20"/>
          <w:szCs w:val="20"/>
          <w:lang w:val="en-US"/>
        </w:rPr>
        <w:t xml:space="preserve">as for </w:t>
      </w:r>
      <w:r w:rsidR="003C40BC">
        <w:rPr>
          <w:rFonts w:ascii="Arial" w:hAnsi="Arial" w:cs="Arial"/>
          <w:sz w:val="20"/>
          <w:szCs w:val="20"/>
          <w:lang w:val="en-US"/>
        </w:rPr>
        <w:t xml:space="preserve">a </w:t>
      </w:r>
      <w:r w:rsidR="000B1574">
        <w:rPr>
          <w:rFonts w:ascii="Arial" w:hAnsi="Arial" w:cs="Arial"/>
          <w:sz w:val="20"/>
          <w:szCs w:val="20"/>
          <w:lang w:val="en-US"/>
        </w:rPr>
        <w:t>CUP or MNP</w:t>
      </w:r>
      <w:r w:rsidR="00680F08" w:rsidRPr="00587079">
        <w:rPr>
          <w:rFonts w:ascii="Arial" w:hAnsi="Arial" w:cs="Arial"/>
          <w:sz w:val="20"/>
          <w:szCs w:val="20"/>
          <w:lang w:val="en-US"/>
        </w:rPr>
        <w:t xml:space="preserve">. However regular pharmacovigilance should be applied for urgent cases conform the EU </w:t>
      </w:r>
      <w:hyperlink r:id="rId15" w:history="1">
        <w:r w:rsidR="00BF4DC8" w:rsidRPr="00587079">
          <w:rPr>
            <w:rStyle w:val="Hyperlink"/>
            <w:rFonts w:ascii="Arial" w:hAnsi="Arial" w:cs="Arial"/>
            <w:sz w:val="20"/>
            <w:szCs w:val="20"/>
            <w:lang w:val="en-US"/>
          </w:rPr>
          <w:t>pharmacovigilance</w:t>
        </w:r>
      </w:hyperlink>
      <w:r w:rsidR="00BF4DC8" w:rsidRPr="00BF4DC8">
        <w:rPr>
          <w:lang w:val="en-US"/>
        </w:rPr>
        <w:t xml:space="preserve"> </w:t>
      </w:r>
      <w:r w:rsidR="00680F08" w:rsidRPr="00587079">
        <w:rPr>
          <w:rFonts w:ascii="Arial" w:hAnsi="Arial" w:cs="Arial"/>
          <w:sz w:val="20"/>
          <w:szCs w:val="20"/>
          <w:lang w:val="en-US"/>
        </w:rPr>
        <w:t>legislation.</w:t>
      </w:r>
    </w:p>
    <w:p w14:paraId="147801A8" w14:textId="79297503" w:rsidR="004952DB" w:rsidRPr="00E034B8" w:rsidRDefault="004952DB" w:rsidP="00AF1F0B">
      <w:pPr>
        <w:pStyle w:val="Lijstalinea"/>
        <w:jc w:val="both"/>
        <w:rPr>
          <w:rFonts w:ascii="Arial" w:hAnsi="Arial" w:cs="Arial"/>
          <w:i/>
          <w:sz w:val="20"/>
          <w:szCs w:val="20"/>
          <w:lang w:val="en-US"/>
        </w:rPr>
      </w:pPr>
    </w:p>
    <w:p w14:paraId="22385F46" w14:textId="77777777" w:rsidR="00AF1F0B" w:rsidRDefault="00AF1F0B" w:rsidP="00AF1F0B">
      <w:pPr>
        <w:pStyle w:val="Lijstalinea"/>
        <w:jc w:val="both"/>
        <w:rPr>
          <w:rFonts w:ascii="Arial" w:hAnsi="Arial" w:cs="Arial"/>
          <w:sz w:val="20"/>
          <w:szCs w:val="20"/>
          <w:lang w:val="en-US"/>
        </w:rPr>
      </w:pPr>
    </w:p>
    <w:p w14:paraId="61A45D37" w14:textId="42F73281" w:rsidR="00F21526" w:rsidRPr="0095732A" w:rsidRDefault="00F21526">
      <w:pPr>
        <w:rPr>
          <w:lang w:val="en-US"/>
        </w:rPr>
      </w:pPr>
    </w:p>
    <w:sectPr w:rsidR="00F21526" w:rsidRPr="0095732A" w:rsidSect="009278F5">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A8045" w14:textId="77777777" w:rsidR="005C2A8E" w:rsidRDefault="005C2A8E">
      <w:r>
        <w:separator/>
      </w:r>
    </w:p>
  </w:endnote>
  <w:endnote w:type="continuationSeparator" w:id="0">
    <w:p w14:paraId="61082CDD" w14:textId="77777777" w:rsidR="005C2A8E" w:rsidRDefault="005C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118566"/>
      <w:docPartObj>
        <w:docPartGallery w:val="Page Numbers (Bottom of Page)"/>
        <w:docPartUnique/>
      </w:docPartObj>
    </w:sdtPr>
    <w:sdtEndPr/>
    <w:sdtContent>
      <w:p w14:paraId="750CB176" w14:textId="3C6CE47C" w:rsidR="00F21080" w:rsidRPr="002154A6" w:rsidRDefault="00182152" w:rsidP="002154A6">
        <w:pPr>
          <w:pStyle w:val="Voettekst"/>
          <w:jc w:val="right"/>
        </w:pPr>
        <w:r w:rsidRPr="002154A6">
          <w:t>V</w:t>
        </w:r>
        <w:r>
          <w:t xml:space="preserve"> </w:t>
        </w:r>
        <w:r w:rsidRPr="002154A6">
          <w:t>1.</w:t>
        </w:r>
        <w:r w:rsidR="00065209">
          <w:t>9</w:t>
        </w:r>
        <w:r>
          <w:t>.</w:t>
        </w:r>
        <w:r w:rsidRPr="002154A6">
          <w:tab/>
        </w:r>
        <w:r w:rsidRPr="002154A6">
          <w:tab/>
        </w:r>
      </w:p>
      <w:p w14:paraId="0300F089" w14:textId="5D114D20" w:rsidR="00F21080" w:rsidRDefault="00065209" w:rsidP="002154A6">
        <w:pPr>
          <w:pStyle w:val="Voettekst"/>
        </w:pPr>
        <w:r>
          <w:t>01/06</w:t>
        </w:r>
        <w:r w:rsidR="0024239C">
          <w:t>/202</w:t>
        </w:r>
        <w:r w:rsidR="001E450C">
          <w:t>1</w:t>
        </w:r>
        <w:r w:rsidR="00182152">
          <w:tab/>
        </w:r>
        <w:r w:rsidR="00182152">
          <w:fldChar w:fldCharType="begin"/>
        </w:r>
        <w:r w:rsidR="00182152">
          <w:instrText xml:space="preserve"> PAGE   \* MERGEFORMAT </w:instrText>
        </w:r>
        <w:r w:rsidR="00182152">
          <w:fldChar w:fldCharType="separate"/>
        </w:r>
        <w:r w:rsidR="008270F7">
          <w:rPr>
            <w:noProof/>
          </w:rPr>
          <w:t>1</w:t>
        </w:r>
        <w:r w:rsidR="00182152">
          <w:rPr>
            <w:noProof/>
          </w:rPr>
          <w:fldChar w:fldCharType="end"/>
        </w:r>
      </w:p>
    </w:sdtContent>
  </w:sdt>
  <w:p w14:paraId="56186433" w14:textId="77777777" w:rsidR="00F21080" w:rsidRDefault="00BD768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4A38B" w14:textId="77777777" w:rsidR="005C2A8E" w:rsidRDefault="005C2A8E">
      <w:r>
        <w:separator/>
      </w:r>
    </w:p>
  </w:footnote>
  <w:footnote w:type="continuationSeparator" w:id="0">
    <w:p w14:paraId="2F3B00EE" w14:textId="77777777" w:rsidR="005C2A8E" w:rsidRDefault="005C2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1" w:type="dxa"/>
      <w:tblLook w:val="00A0" w:firstRow="1" w:lastRow="0" w:firstColumn="1" w:lastColumn="0" w:noHBand="0" w:noVBand="0"/>
    </w:tblPr>
    <w:tblGrid>
      <w:gridCol w:w="5070"/>
      <w:gridCol w:w="4961"/>
    </w:tblGrid>
    <w:tr w:rsidR="00F21080" w:rsidRPr="009724F0" w14:paraId="1C21B380" w14:textId="77777777" w:rsidTr="004F7FA5">
      <w:trPr>
        <w:trHeight w:val="1421"/>
      </w:trPr>
      <w:tc>
        <w:tcPr>
          <w:tcW w:w="5070" w:type="dxa"/>
        </w:tcPr>
        <w:p w14:paraId="7FECDE9E" w14:textId="77777777" w:rsidR="00F21080" w:rsidRPr="009724F0" w:rsidRDefault="00182152" w:rsidP="004F7FA5">
          <w:pPr>
            <w:pStyle w:val="Koptekst"/>
            <w:rPr>
              <w:rFonts w:ascii="Verdana" w:hAnsi="Verdana"/>
              <w:sz w:val="14"/>
              <w:szCs w:val="14"/>
            </w:rPr>
          </w:pPr>
          <w:r>
            <w:rPr>
              <w:rFonts w:ascii="Verdana" w:hAnsi="Verdana"/>
              <w:noProof/>
              <w:sz w:val="14"/>
              <w:szCs w:val="14"/>
            </w:rPr>
            <w:drawing>
              <wp:inline distT="0" distB="0" distL="0" distR="0" wp14:anchorId="3ECA9112" wp14:editId="7C2C2957">
                <wp:extent cx="2080260" cy="769620"/>
                <wp:effectExtent l="19050" t="0" r="0" b="0"/>
                <wp:docPr id="1" name="Image 1" descr="afmps Logo En - CM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mps Logo En - CMYB"/>
                        <pic:cNvPicPr>
                          <a:picLocks noChangeAspect="1" noChangeArrowheads="1"/>
                        </pic:cNvPicPr>
                      </pic:nvPicPr>
                      <pic:blipFill>
                        <a:blip r:embed="rId1"/>
                        <a:srcRect/>
                        <a:stretch>
                          <a:fillRect/>
                        </a:stretch>
                      </pic:blipFill>
                      <pic:spPr bwMode="auto">
                        <a:xfrm>
                          <a:off x="0" y="0"/>
                          <a:ext cx="2080260" cy="769620"/>
                        </a:xfrm>
                        <a:prstGeom prst="rect">
                          <a:avLst/>
                        </a:prstGeom>
                        <a:noFill/>
                        <a:ln w="9525">
                          <a:noFill/>
                          <a:miter lim="800000"/>
                          <a:headEnd/>
                          <a:tailEnd/>
                        </a:ln>
                      </pic:spPr>
                    </pic:pic>
                  </a:graphicData>
                </a:graphic>
              </wp:inline>
            </w:drawing>
          </w:r>
        </w:p>
      </w:tc>
      <w:tc>
        <w:tcPr>
          <w:tcW w:w="4961" w:type="dxa"/>
          <w:vMerge w:val="restart"/>
        </w:tcPr>
        <w:p w14:paraId="3D25478A" w14:textId="77777777" w:rsidR="00F21080" w:rsidRPr="009724F0" w:rsidRDefault="00182152" w:rsidP="004F7FA5">
          <w:pPr>
            <w:pStyle w:val="Koptekst"/>
            <w:rPr>
              <w:rFonts w:ascii="Verdana" w:hAnsi="Verdana"/>
              <w:color w:val="729BC8"/>
              <w:sz w:val="14"/>
              <w:szCs w:val="14"/>
              <w:lang w:val="en-GB"/>
            </w:rPr>
          </w:pPr>
          <w:r w:rsidRPr="009724F0">
            <w:rPr>
              <w:rFonts w:ascii="Verdana" w:hAnsi="Verdana"/>
              <w:color w:val="729BC8"/>
              <w:sz w:val="14"/>
              <w:szCs w:val="14"/>
              <w:lang w:val="en-GB"/>
            </w:rPr>
            <w:t>Federal agency for medicines and health products</w:t>
          </w:r>
        </w:p>
        <w:p w14:paraId="5A364196" w14:textId="77777777" w:rsidR="00F21080" w:rsidRPr="004F7FA5" w:rsidRDefault="00182152" w:rsidP="004F7FA5">
          <w:pPr>
            <w:pStyle w:val="Koptekst"/>
            <w:rPr>
              <w:rFonts w:ascii="Verdana" w:hAnsi="Verdana"/>
              <w:color w:val="729BC8"/>
              <w:sz w:val="14"/>
              <w:szCs w:val="14"/>
              <w:lang w:val="fr-BE"/>
            </w:rPr>
          </w:pPr>
          <w:proofErr w:type="spellStart"/>
          <w:r w:rsidRPr="009354F8">
            <w:rPr>
              <w:rFonts w:ascii="Verdana" w:hAnsi="Verdana"/>
              <w:color w:val="729BC8"/>
              <w:sz w:val="14"/>
              <w:szCs w:val="14"/>
              <w:lang w:val="fr-BE"/>
            </w:rPr>
            <w:t>Eurostation</w:t>
          </w:r>
          <w:proofErr w:type="spellEnd"/>
          <w:r w:rsidRPr="009354F8">
            <w:rPr>
              <w:rFonts w:ascii="Verdana" w:hAnsi="Verdana"/>
              <w:color w:val="729BC8"/>
              <w:sz w:val="14"/>
              <w:szCs w:val="14"/>
              <w:lang w:val="fr-BE"/>
            </w:rPr>
            <w:t xml:space="preserve"> II - Place Victor Horta 40/40</w:t>
          </w:r>
        </w:p>
        <w:p w14:paraId="6E7F0A21" w14:textId="77777777" w:rsidR="00F21080" w:rsidRPr="004F7FA5" w:rsidRDefault="00182152" w:rsidP="004F7FA5">
          <w:pPr>
            <w:pStyle w:val="Koptekst"/>
            <w:rPr>
              <w:rFonts w:ascii="Verdana" w:hAnsi="Verdana"/>
              <w:color w:val="729BC8"/>
              <w:sz w:val="14"/>
              <w:szCs w:val="14"/>
              <w:lang w:val="fr-BE"/>
            </w:rPr>
          </w:pPr>
          <w:r w:rsidRPr="009354F8">
            <w:rPr>
              <w:rFonts w:ascii="Verdana" w:hAnsi="Verdana"/>
              <w:color w:val="729BC8"/>
              <w:sz w:val="14"/>
              <w:szCs w:val="14"/>
              <w:lang w:val="fr-BE"/>
            </w:rPr>
            <w:t>1060 Brussels</w:t>
          </w:r>
        </w:p>
        <w:p w14:paraId="1AB490BF" w14:textId="77777777" w:rsidR="00F21080" w:rsidRPr="009724F0" w:rsidRDefault="00182152" w:rsidP="004F7FA5">
          <w:pPr>
            <w:pStyle w:val="Koptekst"/>
            <w:rPr>
              <w:rFonts w:ascii="Verdana" w:hAnsi="Verdana"/>
              <w:sz w:val="14"/>
              <w:szCs w:val="14"/>
            </w:rPr>
          </w:pPr>
          <w:r w:rsidRPr="009724F0">
            <w:rPr>
              <w:rFonts w:ascii="Verdana" w:hAnsi="Verdana"/>
              <w:color w:val="729BC8"/>
              <w:sz w:val="14"/>
              <w:szCs w:val="14"/>
            </w:rPr>
            <w:t>www.afmps.be</w:t>
          </w:r>
        </w:p>
      </w:tc>
    </w:tr>
    <w:tr w:rsidR="00F21080" w:rsidRPr="002A3542" w14:paraId="61EBF40A" w14:textId="77777777" w:rsidTr="004F7FA5">
      <w:trPr>
        <w:trHeight w:val="284"/>
      </w:trPr>
      <w:tc>
        <w:tcPr>
          <w:tcW w:w="5070" w:type="dxa"/>
          <w:tcMar>
            <w:left w:w="567" w:type="dxa"/>
          </w:tcMar>
        </w:tcPr>
        <w:p w14:paraId="53EFED3F" w14:textId="77777777" w:rsidR="00A21291" w:rsidRDefault="00BD7681" w:rsidP="004F7FA5">
          <w:pPr>
            <w:pStyle w:val="Koptekst"/>
            <w:rPr>
              <w:rFonts w:ascii="Verdana" w:hAnsi="Verdana"/>
              <w:color w:val="729BC8"/>
              <w:sz w:val="14"/>
              <w:szCs w:val="14"/>
              <w:lang w:val="en-GB"/>
            </w:rPr>
          </w:pPr>
        </w:p>
        <w:p w14:paraId="366D691F" w14:textId="77777777" w:rsidR="00F21080" w:rsidRPr="009724F0" w:rsidRDefault="00182152" w:rsidP="004F7FA5">
          <w:pPr>
            <w:pStyle w:val="Koptekst"/>
            <w:rPr>
              <w:rFonts w:ascii="Verdana" w:hAnsi="Verdana"/>
              <w:color w:val="729BC8"/>
              <w:sz w:val="14"/>
              <w:szCs w:val="14"/>
              <w:lang w:val="en-GB"/>
            </w:rPr>
          </w:pPr>
          <w:r>
            <w:rPr>
              <w:rFonts w:ascii="Verdana" w:hAnsi="Verdana"/>
              <w:color w:val="729BC8"/>
              <w:sz w:val="14"/>
              <w:szCs w:val="14"/>
              <w:lang w:val="en-GB"/>
            </w:rPr>
            <w:t>DG Pre</w:t>
          </w:r>
          <w:r w:rsidRPr="009724F0">
            <w:rPr>
              <w:rFonts w:ascii="Verdana" w:hAnsi="Verdana"/>
              <w:color w:val="729BC8"/>
              <w:sz w:val="14"/>
              <w:szCs w:val="14"/>
              <w:lang w:val="en-GB"/>
            </w:rPr>
            <w:t>/</w:t>
          </w:r>
          <w:r>
            <w:rPr>
              <w:rFonts w:ascii="Verdana" w:hAnsi="Verdana"/>
              <w:color w:val="729BC8"/>
              <w:sz w:val="14"/>
              <w:szCs w:val="14"/>
              <w:lang w:val="en-GB"/>
            </w:rPr>
            <w:t>R&amp;D</w:t>
          </w:r>
          <w:r w:rsidRPr="009724F0">
            <w:rPr>
              <w:rFonts w:ascii="Verdana" w:hAnsi="Verdana"/>
              <w:color w:val="729BC8"/>
              <w:sz w:val="14"/>
              <w:szCs w:val="14"/>
              <w:lang w:val="en-GB"/>
            </w:rPr>
            <w:t>/</w:t>
          </w:r>
          <w:r>
            <w:rPr>
              <w:rFonts w:ascii="Verdana" w:hAnsi="Verdana"/>
              <w:color w:val="729BC8"/>
              <w:sz w:val="14"/>
              <w:szCs w:val="14"/>
              <w:lang w:val="en-GB"/>
            </w:rPr>
            <w:t>UMN</w:t>
          </w:r>
        </w:p>
      </w:tc>
      <w:tc>
        <w:tcPr>
          <w:tcW w:w="4961" w:type="dxa"/>
          <w:vMerge/>
          <w:tcMar>
            <w:top w:w="0" w:type="dxa"/>
          </w:tcMar>
        </w:tcPr>
        <w:p w14:paraId="1E669EEF" w14:textId="77777777" w:rsidR="00F21080" w:rsidRPr="004F7FA5" w:rsidRDefault="00BD7681" w:rsidP="004F7FA5">
          <w:pPr>
            <w:pStyle w:val="Koptekst"/>
            <w:rPr>
              <w:rFonts w:ascii="Verdana" w:hAnsi="Verdana"/>
              <w:sz w:val="14"/>
              <w:szCs w:val="14"/>
              <w:lang w:val="en-US"/>
            </w:rPr>
          </w:pPr>
        </w:p>
      </w:tc>
    </w:tr>
  </w:tbl>
  <w:p w14:paraId="33FE0CD5" w14:textId="77777777" w:rsidR="00F21080" w:rsidRPr="004F7FA5" w:rsidRDefault="00BD7681" w:rsidP="00A21291">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E06EA"/>
    <w:multiLevelType w:val="hybridMultilevel"/>
    <w:tmpl w:val="6EA05EE6"/>
    <w:lvl w:ilvl="0" w:tplc="2D06AD78">
      <w:start w:val="1"/>
      <w:numFmt w:val="upperRoman"/>
      <w:lvlText w:val="%1."/>
      <w:lvlJc w:val="left"/>
      <w:pPr>
        <w:ind w:left="502" w:hanging="360"/>
      </w:pPr>
      <w:rPr>
        <w:rFonts w:ascii="Arial" w:hAnsi="Arial" w:cs="Arial" w:hint="default"/>
        <w:b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85E3BF0"/>
    <w:multiLevelType w:val="hybridMultilevel"/>
    <w:tmpl w:val="47A283D8"/>
    <w:lvl w:ilvl="0" w:tplc="5290DF14">
      <w:start w:val="1"/>
      <w:numFmt w:val="upperRoman"/>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24CB1"/>
    <w:multiLevelType w:val="hybridMultilevel"/>
    <w:tmpl w:val="5F0EFFA2"/>
    <w:lvl w:ilvl="0" w:tplc="5290DF14">
      <w:start w:val="1"/>
      <w:numFmt w:val="upperRoman"/>
      <w:lvlText w:val="%1."/>
      <w:lvlJc w:val="left"/>
      <w:pPr>
        <w:ind w:left="1080" w:hanging="720"/>
      </w:pPr>
      <w:rPr>
        <w:rFonts w:ascii="Arial" w:hAnsi="Arial" w:cs="Arial" w:hint="default"/>
        <w:b/>
        <w:color w:val="auto"/>
      </w:rPr>
    </w:lvl>
    <w:lvl w:ilvl="1" w:tplc="9C4CAB6C">
      <w:numFmt w:val="bullet"/>
      <w:lvlText w:val="-"/>
      <w:lvlJc w:val="left"/>
      <w:pPr>
        <w:ind w:left="1440" w:hanging="360"/>
      </w:pPr>
      <w:rPr>
        <w:rFonts w:ascii="Arial" w:eastAsia="Calibri"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09B4F73"/>
    <w:multiLevelType w:val="hybridMultilevel"/>
    <w:tmpl w:val="19C26DF2"/>
    <w:lvl w:ilvl="0" w:tplc="E4647DBA">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B030EA"/>
    <w:multiLevelType w:val="hybridMultilevel"/>
    <w:tmpl w:val="7C2C1E54"/>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BB17BE"/>
    <w:multiLevelType w:val="hybridMultilevel"/>
    <w:tmpl w:val="C01A49F8"/>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FE379B"/>
    <w:multiLevelType w:val="hybridMultilevel"/>
    <w:tmpl w:val="D870CC28"/>
    <w:lvl w:ilvl="0" w:tplc="9C4CAB6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7" w15:restartNumberingAfterBreak="0">
    <w:nsid w:val="1B7A4FA1"/>
    <w:multiLevelType w:val="hybridMultilevel"/>
    <w:tmpl w:val="4ABC5CA6"/>
    <w:lvl w:ilvl="0" w:tplc="7DA227A6">
      <w:start w:val="1"/>
      <w:numFmt w:val="decimal"/>
      <w:lvlText w:val="%1."/>
      <w:lvlJc w:val="left"/>
      <w:pPr>
        <w:ind w:left="720" w:hanging="360"/>
      </w:pPr>
      <w:rPr>
        <w:b/>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637397"/>
    <w:multiLevelType w:val="hybridMultilevel"/>
    <w:tmpl w:val="68C4A872"/>
    <w:lvl w:ilvl="0" w:tplc="954E478E">
      <w:start w:val="1"/>
      <w:numFmt w:val="decimal"/>
      <w:lvlText w:val="%1."/>
      <w:lvlJc w:val="left"/>
      <w:pPr>
        <w:ind w:left="862" w:hanging="360"/>
      </w:pPr>
      <w:rPr>
        <w:b w:val="0"/>
        <w:lang w:val="en-U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F5D51CE"/>
    <w:multiLevelType w:val="hybridMultilevel"/>
    <w:tmpl w:val="2E8C3710"/>
    <w:lvl w:ilvl="0" w:tplc="7DA227A6">
      <w:start w:val="1"/>
      <w:numFmt w:val="decimal"/>
      <w:lvlText w:val="%1."/>
      <w:lvlJc w:val="left"/>
      <w:pPr>
        <w:ind w:left="720" w:hanging="360"/>
      </w:pPr>
      <w:rPr>
        <w:b/>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0B0636"/>
    <w:multiLevelType w:val="hybridMultilevel"/>
    <w:tmpl w:val="E65A9064"/>
    <w:lvl w:ilvl="0" w:tplc="5290DF14">
      <w:start w:val="1"/>
      <w:numFmt w:val="upperRoman"/>
      <w:lvlText w:val="%1."/>
      <w:lvlJc w:val="left"/>
      <w:pPr>
        <w:ind w:left="1080" w:hanging="720"/>
      </w:pPr>
      <w:rPr>
        <w:rFonts w:ascii="Arial" w:hAnsi="Arial" w:cs="Arial" w:hint="default"/>
        <w:b/>
        <w:color w:val="auto"/>
      </w:rPr>
    </w:lvl>
    <w:lvl w:ilvl="1" w:tplc="9C4CAB6C">
      <w:numFmt w:val="bullet"/>
      <w:lvlText w:val="-"/>
      <w:lvlJc w:val="left"/>
      <w:pPr>
        <w:ind w:left="1440" w:hanging="360"/>
      </w:pPr>
      <w:rPr>
        <w:rFonts w:ascii="Arial" w:eastAsia="Calibri"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2DC5CB4"/>
    <w:multiLevelType w:val="hybridMultilevel"/>
    <w:tmpl w:val="58D8B2DC"/>
    <w:lvl w:ilvl="0" w:tplc="0809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2" w15:restartNumberingAfterBreak="0">
    <w:nsid w:val="40B0568D"/>
    <w:multiLevelType w:val="hybridMultilevel"/>
    <w:tmpl w:val="2BAA8864"/>
    <w:lvl w:ilvl="0" w:tplc="5290DF14">
      <w:start w:val="1"/>
      <w:numFmt w:val="upperRoman"/>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7007A3"/>
    <w:multiLevelType w:val="hybridMultilevel"/>
    <w:tmpl w:val="506232F4"/>
    <w:lvl w:ilvl="0" w:tplc="E4647D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C801B5"/>
    <w:multiLevelType w:val="hybridMultilevel"/>
    <w:tmpl w:val="36408D26"/>
    <w:lvl w:ilvl="0" w:tplc="7DA227A6">
      <w:start w:val="1"/>
      <w:numFmt w:val="decimal"/>
      <w:lvlText w:val="%1."/>
      <w:lvlJc w:val="left"/>
      <w:pPr>
        <w:ind w:left="720" w:hanging="360"/>
      </w:pPr>
      <w:rPr>
        <w:b/>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185663"/>
    <w:multiLevelType w:val="hybridMultilevel"/>
    <w:tmpl w:val="9EA48BFC"/>
    <w:lvl w:ilvl="0" w:tplc="0813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56F3220"/>
    <w:multiLevelType w:val="hybridMultilevel"/>
    <w:tmpl w:val="7044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BF2F12"/>
    <w:multiLevelType w:val="hybridMultilevel"/>
    <w:tmpl w:val="1F66EDB4"/>
    <w:lvl w:ilvl="0" w:tplc="5290DF14">
      <w:start w:val="1"/>
      <w:numFmt w:val="upperRoman"/>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EA2CBC"/>
    <w:multiLevelType w:val="hybridMultilevel"/>
    <w:tmpl w:val="A90CC072"/>
    <w:lvl w:ilvl="0" w:tplc="7DA227A6">
      <w:start w:val="1"/>
      <w:numFmt w:val="decimal"/>
      <w:lvlText w:val="%1."/>
      <w:lvlJc w:val="left"/>
      <w:pPr>
        <w:ind w:left="720" w:hanging="360"/>
      </w:pPr>
      <w:rPr>
        <w:b/>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E43DE2"/>
    <w:multiLevelType w:val="hybridMultilevel"/>
    <w:tmpl w:val="31D28C5C"/>
    <w:lvl w:ilvl="0" w:tplc="7DA227A6">
      <w:start w:val="1"/>
      <w:numFmt w:val="decimal"/>
      <w:lvlText w:val="%1."/>
      <w:lvlJc w:val="left"/>
      <w:pPr>
        <w:ind w:left="720" w:hanging="360"/>
      </w:pPr>
      <w:rPr>
        <w:b/>
        <w:lang w:val="en-US"/>
      </w:rPr>
    </w:lvl>
    <w:lvl w:ilvl="1" w:tplc="10DC4BE2">
      <w:start w:val="1"/>
      <w:numFmt w:val="decimal"/>
      <w:lvlText w:val="%2)"/>
      <w:lvlJc w:val="left"/>
      <w:pPr>
        <w:ind w:left="1440" w:hanging="360"/>
      </w:pPr>
      <w:rPr>
        <w:rFonts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CF67755"/>
    <w:multiLevelType w:val="hybridMultilevel"/>
    <w:tmpl w:val="985A49C0"/>
    <w:lvl w:ilvl="0" w:tplc="5290DF14">
      <w:start w:val="1"/>
      <w:numFmt w:val="upperRoman"/>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D67F53"/>
    <w:multiLevelType w:val="hybridMultilevel"/>
    <w:tmpl w:val="D7241770"/>
    <w:lvl w:ilvl="0" w:tplc="E4647DBA">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1F7102"/>
    <w:multiLevelType w:val="hybridMultilevel"/>
    <w:tmpl w:val="6E982A5E"/>
    <w:lvl w:ilvl="0" w:tplc="0813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4263D7"/>
    <w:multiLevelType w:val="hybridMultilevel"/>
    <w:tmpl w:val="F52076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EA56333"/>
    <w:multiLevelType w:val="hybridMultilevel"/>
    <w:tmpl w:val="BCBE4210"/>
    <w:lvl w:ilvl="0" w:tplc="5290DF14">
      <w:start w:val="1"/>
      <w:numFmt w:val="upperRoman"/>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0"/>
  </w:num>
  <w:num w:numId="3">
    <w:abstractNumId w:val="16"/>
  </w:num>
  <w:num w:numId="4">
    <w:abstractNumId w:val="21"/>
  </w:num>
  <w:num w:numId="5">
    <w:abstractNumId w:val="3"/>
  </w:num>
  <w:num w:numId="6">
    <w:abstractNumId w:val="13"/>
  </w:num>
  <w:num w:numId="7">
    <w:abstractNumId w:val="6"/>
  </w:num>
  <w:num w:numId="8">
    <w:abstractNumId w:val="4"/>
  </w:num>
  <w:num w:numId="9">
    <w:abstractNumId w:val="8"/>
  </w:num>
  <w:num w:numId="10">
    <w:abstractNumId w:val="18"/>
  </w:num>
  <w:num w:numId="11">
    <w:abstractNumId w:val="14"/>
  </w:num>
  <w:num w:numId="12">
    <w:abstractNumId w:val="7"/>
  </w:num>
  <w:num w:numId="13">
    <w:abstractNumId w:val="9"/>
  </w:num>
  <w:num w:numId="14">
    <w:abstractNumId w:val="5"/>
  </w:num>
  <w:num w:numId="15">
    <w:abstractNumId w:val="0"/>
  </w:num>
  <w:num w:numId="16">
    <w:abstractNumId w:val="24"/>
  </w:num>
  <w:num w:numId="17">
    <w:abstractNumId w:val="17"/>
  </w:num>
  <w:num w:numId="18">
    <w:abstractNumId w:val="1"/>
  </w:num>
  <w:num w:numId="19">
    <w:abstractNumId w:val="20"/>
  </w:num>
  <w:num w:numId="20">
    <w:abstractNumId w:val="12"/>
  </w:num>
  <w:num w:numId="21">
    <w:abstractNumId w:val="23"/>
  </w:num>
  <w:num w:numId="22">
    <w:abstractNumId w:val="2"/>
  </w:num>
  <w:num w:numId="23">
    <w:abstractNumId w:val="15"/>
  </w:num>
  <w:num w:numId="24">
    <w:abstractNumId w:val="2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32A"/>
    <w:rsid w:val="00031616"/>
    <w:rsid w:val="0003400F"/>
    <w:rsid w:val="00065209"/>
    <w:rsid w:val="00077208"/>
    <w:rsid w:val="000A30CB"/>
    <w:rsid w:val="000B1574"/>
    <w:rsid w:val="000D3B97"/>
    <w:rsid w:val="000E3543"/>
    <w:rsid w:val="000F5665"/>
    <w:rsid w:val="000F594A"/>
    <w:rsid w:val="0011153D"/>
    <w:rsid w:val="00151B67"/>
    <w:rsid w:val="00154B0D"/>
    <w:rsid w:val="00173C67"/>
    <w:rsid w:val="00182152"/>
    <w:rsid w:val="00194900"/>
    <w:rsid w:val="001A2067"/>
    <w:rsid w:val="001C7454"/>
    <w:rsid w:val="001E14A5"/>
    <w:rsid w:val="001E450C"/>
    <w:rsid w:val="001E6F12"/>
    <w:rsid w:val="0021001C"/>
    <w:rsid w:val="00235EE0"/>
    <w:rsid w:val="0024239C"/>
    <w:rsid w:val="0027222B"/>
    <w:rsid w:val="00275EAB"/>
    <w:rsid w:val="002839B4"/>
    <w:rsid w:val="002A3542"/>
    <w:rsid w:val="002B2499"/>
    <w:rsid w:val="002B60EF"/>
    <w:rsid w:val="002C6AD7"/>
    <w:rsid w:val="003022D9"/>
    <w:rsid w:val="003461B7"/>
    <w:rsid w:val="00351EF3"/>
    <w:rsid w:val="00363525"/>
    <w:rsid w:val="00373E44"/>
    <w:rsid w:val="00381E79"/>
    <w:rsid w:val="003A20C0"/>
    <w:rsid w:val="003A47B3"/>
    <w:rsid w:val="003A6929"/>
    <w:rsid w:val="003B4852"/>
    <w:rsid w:val="003C40BC"/>
    <w:rsid w:val="003D07AD"/>
    <w:rsid w:val="003D3C46"/>
    <w:rsid w:val="003E1372"/>
    <w:rsid w:val="00403E33"/>
    <w:rsid w:val="004260F2"/>
    <w:rsid w:val="00434C53"/>
    <w:rsid w:val="00461B72"/>
    <w:rsid w:val="004820AD"/>
    <w:rsid w:val="004952DB"/>
    <w:rsid w:val="004C32C9"/>
    <w:rsid w:val="004F1F1B"/>
    <w:rsid w:val="0050306E"/>
    <w:rsid w:val="00553939"/>
    <w:rsid w:val="0057126B"/>
    <w:rsid w:val="005733FD"/>
    <w:rsid w:val="00587079"/>
    <w:rsid w:val="00596E74"/>
    <w:rsid w:val="005A3D09"/>
    <w:rsid w:val="005A5C97"/>
    <w:rsid w:val="005B3D92"/>
    <w:rsid w:val="005C2A8E"/>
    <w:rsid w:val="005D39B7"/>
    <w:rsid w:val="0060239E"/>
    <w:rsid w:val="006322F4"/>
    <w:rsid w:val="006659BF"/>
    <w:rsid w:val="00680F08"/>
    <w:rsid w:val="00695C8A"/>
    <w:rsid w:val="006F2212"/>
    <w:rsid w:val="00711386"/>
    <w:rsid w:val="007140D3"/>
    <w:rsid w:val="007426E6"/>
    <w:rsid w:val="00743912"/>
    <w:rsid w:val="007532B7"/>
    <w:rsid w:val="00761518"/>
    <w:rsid w:val="007841DA"/>
    <w:rsid w:val="007B02F1"/>
    <w:rsid w:val="007D0E69"/>
    <w:rsid w:val="007E235F"/>
    <w:rsid w:val="008270F7"/>
    <w:rsid w:val="00831339"/>
    <w:rsid w:val="00845DAD"/>
    <w:rsid w:val="00846C21"/>
    <w:rsid w:val="00864CD9"/>
    <w:rsid w:val="0086748E"/>
    <w:rsid w:val="00867686"/>
    <w:rsid w:val="008A1322"/>
    <w:rsid w:val="008C248A"/>
    <w:rsid w:val="008E2D5F"/>
    <w:rsid w:val="008F0047"/>
    <w:rsid w:val="009021C6"/>
    <w:rsid w:val="00910180"/>
    <w:rsid w:val="00920D7A"/>
    <w:rsid w:val="00920E85"/>
    <w:rsid w:val="00941BF0"/>
    <w:rsid w:val="0095732A"/>
    <w:rsid w:val="00980F89"/>
    <w:rsid w:val="00986492"/>
    <w:rsid w:val="009D2F08"/>
    <w:rsid w:val="009F66C2"/>
    <w:rsid w:val="00A3436C"/>
    <w:rsid w:val="00A45BD0"/>
    <w:rsid w:val="00A71A59"/>
    <w:rsid w:val="00A97B49"/>
    <w:rsid w:val="00AC0BD0"/>
    <w:rsid w:val="00AD00CB"/>
    <w:rsid w:val="00AF1F0B"/>
    <w:rsid w:val="00B32C77"/>
    <w:rsid w:val="00B3698A"/>
    <w:rsid w:val="00B837FA"/>
    <w:rsid w:val="00B84B49"/>
    <w:rsid w:val="00B85CCC"/>
    <w:rsid w:val="00BA1648"/>
    <w:rsid w:val="00BB6B70"/>
    <w:rsid w:val="00BC2C28"/>
    <w:rsid w:val="00BD7681"/>
    <w:rsid w:val="00BE2E78"/>
    <w:rsid w:val="00BF1D63"/>
    <w:rsid w:val="00BF4DC8"/>
    <w:rsid w:val="00BF52F4"/>
    <w:rsid w:val="00C260AE"/>
    <w:rsid w:val="00C34E17"/>
    <w:rsid w:val="00C535FE"/>
    <w:rsid w:val="00C75ABB"/>
    <w:rsid w:val="00CA4D37"/>
    <w:rsid w:val="00CA54A1"/>
    <w:rsid w:val="00CB07EC"/>
    <w:rsid w:val="00CB3C5C"/>
    <w:rsid w:val="00CC0F37"/>
    <w:rsid w:val="00CC1F4F"/>
    <w:rsid w:val="00CF3674"/>
    <w:rsid w:val="00D14C20"/>
    <w:rsid w:val="00D274BC"/>
    <w:rsid w:val="00D30469"/>
    <w:rsid w:val="00D4363F"/>
    <w:rsid w:val="00D508CC"/>
    <w:rsid w:val="00D64276"/>
    <w:rsid w:val="00DA107D"/>
    <w:rsid w:val="00DB219E"/>
    <w:rsid w:val="00DC36C2"/>
    <w:rsid w:val="00DE2EF9"/>
    <w:rsid w:val="00DF316A"/>
    <w:rsid w:val="00E016E4"/>
    <w:rsid w:val="00E034B8"/>
    <w:rsid w:val="00E31999"/>
    <w:rsid w:val="00E43A0D"/>
    <w:rsid w:val="00E87110"/>
    <w:rsid w:val="00EE60B6"/>
    <w:rsid w:val="00F21526"/>
    <w:rsid w:val="00F642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879DE0"/>
  <w15:chartTrackingRefBased/>
  <w15:docId w15:val="{A353661E-1704-49B4-8E38-89BF52EB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732A"/>
    <w:pPr>
      <w:spacing w:after="0" w:line="240" w:lineRule="auto"/>
    </w:pPr>
    <w:rPr>
      <w:rFonts w:ascii="Calibri" w:hAnsi="Calibri" w:cs="Times New Roman"/>
      <w:lang w:eastAsia="nl-BE"/>
    </w:rPr>
  </w:style>
  <w:style w:type="paragraph" w:styleId="Kop1">
    <w:name w:val="heading 1"/>
    <w:basedOn w:val="Standaard"/>
    <w:next w:val="Standaard"/>
    <w:link w:val="Kop1Char"/>
    <w:uiPriority w:val="9"/>
    <w:qFormat/>
    <w:rsid w:val="0095732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5732A"/>
    <w:rPr>
      <w:rFonts w:asciiTheme="majorHAnsi" w:eastAsiaTheme="majorEastAsia" w:hAnsiTheme="majorHAnsi" w:cstheme="majorBidi"/>
      <w:b/>
      <w:bCs/>
      <w:color w:val="2E74B5" w:themeColor="accent1" w:themeShade="BF"/>
      <w:sz w:val="28"/>
      <w:szCs w:val="28"/>
      <w:lang w:eastAsia="nl-BE"/>
    </w:rPr>
  </w:style>
  <w:style w:type="paragraph" w:styleId="Lijstalinea">
    <w:name w:val="List Paragraph"/>
    <w:basedOn w:val="Standaard"/>
    <w:uiPriority w:val="34"/>
    <w:qFormat/>
    <w:rsid w:val="0095732A"/>
    <w:pPr>
      <w:ind w:left="720"/>
    </w:pPr>
  </w:style>
  <w:style w:type="paragraph" w:styleId="Koptekst">
    <w:name w:val="header"/>
    <w:basedOn w:val="Standaard"/>
    <w:link w:val="KoptekstChar"/>
    <w:uiPriority w:val="99"/>
    <w:unhideWhenUsed/>
    <w:rsid w:val="0095732A"/>
    <w:pPr>
      <w:tabs>
        <w:tab w:val="center" w:pos="4536"/>
        <w:tab w:val="right" w:pos="9072"/>
      </w:tabs>
    </w:pPr>
  </w:style>
  <w:style w:type="character" w:customStyle="1" w:styleId="KoptekstChar">
    <w:name w:val="Koptekst Char"/>
    <w:basedOn w:val="Standaardalinea-lettertype"/>
    <w:link w:val="Koptekst"/>
    <w:uiPriority w:val="99"/>
    <w:rsid w:val="0095732A"/>
    <w:rPr>
      <w:rFonts w:ascii="Calibri" w:hAnsi="Calibri" w:cs="Times New Roman"/>
      <w:lang w:eastAsia="nl-BE"/>
    </w:rPr>
  </w:style>
  <w:style w:type="paragraph" w:styleId="Voettekst">
    <w:name w:val="footer"/>
    <w:basedOn w:val="Standaard"/>
    <w:link w:val="VoettekstChar"/>
    <w:uiPriority w:val="99"/>
    <w:unhideWhenUsed/>
    <w:rsid w:val="0095732A"/>
    <w:pPr>
      <w:tabs>
        <w:tab w:val="center" w:pos="4536"/>
        <w:tab w:val="right" w:pos="9072"/>
      </w:tabs>
    </w:pPr>
  </w:style>
  <w:style w:type="character" w:customStyle="1" w:styleId="VoettekstChar">
    <w:name w:val="Voettekst Char"/>
    <w:basedOn w:val="Standaardalinea-lettertype"/>
    <w:link w:val="Voettekst"/>
    <w:uiPriority w:val="99"/>
    <w:rsid w:val="0095732A"/>
    <w:rPr>
      <w:rFonts w:ascii="Calibri" w:hAnsi="Calibri" w:cs="Times New Roman"/>
      <w:lang w:eastAsia="nl-BE"/>
    </w:rPr>
  </w:style>
  <w:style w:type="character" w:styleId="Zwaar">
    <w:name w:val="Strong"/>
    <w:basedOn w:val="Standaardalinea-lettertype"/>
    <w:uiPriority w:val="22"/>
    <w:qFormat/>
    <w:rsid w:val="0095732A"/>
    <w:rPr>
      <w:b/>
      <w:bCs/>
    </w:rPr>
  </w:style>
  <w:style w:type="character" w:styleId="Verwijzingopmerking">
    <w:name w:val="annotation reference"/>
    <w:basedOn w:val="Standaardalinea-lettertype"/>
    <w:uiPriority w:val="99"/>
    <w:semiHidden/>
    <w:unhideWhenUsed/>
    <w:rsid w:val="0095732A"/>
    <w:rPr>
      <w:sz w:val="16"/>
      <w:szCs w:val="16"/>
    </w:rPr>
  </w:style>
  <w:style w:type="paragraph" w:styleId="Tekstopmerking">
    <w:name w:val="annotation text"/>
    <w:basedOn w:val="Standaard"/>
    <w:link w:val="TekstopmerkingChar"/>
    <w:uiPriority w:val="99"/>
    <w:semiHidden/>
    <w:unhideWhenUsed/>
    <w:rsid w:val="0095732A"/>
    <w:rPr>
      <w:sz w:val="20"/>
      <w:szCs w:val="20"/>
    </w:rPr>
  </w:style>
  <w:style w:type="character" w:customStyle="1" w:styleId="TekstopmerkingChar">
    <w:name w:val="Tekst opmerking Char"/>
    <w:basedOn w:val="Standaardalinea-lettertype"/>
    <w:link w:val="Tekstopmerking"/>
    <w:uiPriority w:val="99"/>
    <w:semiHidden/>
    <w:rsid w:val="0095732A"/>
    <w:rPr>
      <w:rFonts w:ascii="Calibri" w:hAnsi="Calibri" w:cs="Times New Roman"/>
      <w:sz w:val="20"/>
      <w:szCs w:val="20"/>
      <w:lang w:eastAsia="nl-BE"/>
    </w:rPr>
  </w:style>
  <w:style w:type="table" w:styleId="Tabelraster">
    <w:name w:val="Table Grid"/>
    <w:basedOn w:val="Standaardtabel"/>
    <w:uiPriority w:val="59"/>
    <w:rsid w:val="0095732A"/>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5732A"/>
    <w:rPr>
      <w:color w:val="0000FF"/>
      <w:u w:val="single"/>
    </w:rPr>
  </w:style>
  <w:style w:type="paragraph" w:styleId="Ballontekst">
    <w:name w:val="Balloon Text"/>
    <w:basedOn w:val="Standaard"/>
    <w:link w:val="BallontekstChar"/>
    <w:uiPriority w:val="99"/>
    <w:semiHidden/>
    <w:unhideWhenUsed/>
    <w:rsid w:val="0095732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732A"/>
    <w:rPr>
      <w:rFonts w:ascii="Segoe UI" w:hAnsi="Segoe UI" w:cs="Segoe UI"/>
      <w:sz w:val="18"/>
      <w:szCs w:val="18"/>
      <w:lang w:eastAsia="nl-BE"/>
    </w:rPr>
  </w:style>
  <w:style w:type="paragraph" w:styleId="Kopvaninhoudsopgave">
    <w:name w:val="TOC Heading"/>
    <w:basedOn w:val="Kop1"/>
    <w:next w:val="Standaard"/>
    <w:uiPriority w:val="39"/>
    <w:unhideWhenUsed/>
    <w:qFormat/>
    <w:rsid w:val="001A2067"/>
    <w:pPr>
      <w:spacing w:before="240" w:line="259" w:lineRule="auto"/>
      <w:outlineLvl w:val="9"/>
    </w:pPr>
    <w:rPr>
      <w:b w:val="0"/>
      <w:bCs w:val="0"/>
      <w:sz w:val="32"/>
      <w:szCs w:val="32"/>
      <w:lang w:val="en-GB" w:eastAsia="en-GB"/>
    </w:rPr>
  </w:style>
  <w:style w:type="paragraph" w:styleId="Inhopg2">
    <w:name w:val="toc 2"/>
    <w:basedOn w:val="Standaard"/>
    <w:next w:val="Standaard"/>
    <w:autoRedefine/>
    <w:uiPriority w:val="39"/>
    <w:unhideWhenUsed/>
    <w:rsid w:val="001A2067"/>
    <w:pPr>
      <w:spacing w:after="100" w:line="259" w:lineRule="auto"/>
      <w:ind w:left="220"/>
    </w:pPr>
    <w:rPr>
      <w:rFonts w:asciiTheme="minorHAnsi" w:eastAsiaTheme="minorEastAsia" w:hAnsiTheme="minorHAnsi"/>
      <w:lang w:val="en-GB" w:eastAsia="en-GB"/>
    </w:rPr>
  </w:style>
  <w:style w:type="paragraph" w:styleId="Inhopg1">
    <w:name w:val="toc 1"/>
    <w:basedOn w:val="Standaard"/>
    <w:next w:val="Standaard"/>
    <w:autoRedefine/>
    <w:uiPriority w:val="39"/>
    <w:unhideWhenUsed/>
    <w:rsid w:val="001A2067"/>
    <w:pPr>
      <w:spacing w:after="100" w:line="259" w:lineRule="auto"/>
    </w:pPr>
    <w:rPr>
      <w:rFonts w:asciiTheme="minorHAnsi" w:eastAsiaTheme="minorEastAsia" w:hAnsiTheme="minorHAnsi"/>
      <w:lang w:val="en-GB" w:eastAsia="en-GB"/>
    </w:rPr>
  </w:style>
  <w:style w:type="paragraph" w:styleId="Inhopg3">
    <w:name w:val="toc 3"/>
    <w:basedOn w:val="Standaard"/>
    <w:next w:val="Standaard"/>
    <w:autoRedefine/>
    <w:uiPriority w:val="39"/>
    <w:unhideWhenUsed/>
    <w:rsid w:val="001A2067"/>
    <w:pPr>
      <w:spacing w:after="100" w:line="259" w:lineRule="auto"/>
      <w:ind w:left="440"/>
    </w:pPr>
    <w:rPr>
      <w:rFonts w:asciiTheme="minorHAnsi" w:eastAsiaTheme="minorEastAsia" w:hAnsiTheme="minorHAnsi"/>
      <w:lang w:val="en-GB" w:eastAsia="en-GB"/>
    </w:rPr>
  </w:style>
  <w:style w:type="character" w:styleId="GevolgdeHyperlink">
    <w:name w:val="FollowedHyperlink"/>
    <w:basedOn w:val="Standaardalinea-lettertype"/>
    <w:uiPriority w:val="99"/>
    <w:semiHidden/>
    <w:unhideWhenUsed/>
    <w:rsid w:val="00680F08"/>
    <w:rPr>
      <w:color w:val="954F72"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986492"/>
    <w:rPr>
      <w:b/>
      <w:bCs/>
    </w:rPr>
  </w:style>
  <w:style w:type="character" w:customStyle="1" w:styleId="OnderwerpvanopmerkingChar">
    <w:name w:val="Onderwerp van opmerking Char"/>
    <w:basedOn w:val="TekstopmerkingChar"/>
    <w:link w:val="Onderwerpvanopmerking"/>
    <w:uiPriority w:val="99"/>
    <w:semiHidden/>
    <w:rsid w:val="00986492"/>
    <w:rPr>
      <w:rFonts w:ascii="Calibri" w:hAnsi="Calibri" w:cs="Times New Roman"/>
      <w:b/>
      <w:bCs/>
      <w:sz w:val="20"/>
      <w:szCs w:val="20"/>
      <w:lang w:eastAsia="nl-BE"/>
    </w:rPr>
  </w:style>
  <w:style w:type="paragraph" w:styleId="Eindnoottekst">
    <w:name w:val="endnote text"/>
    <w:basedOn w:val="Standaard"/>
    <w:link w:val="EindnoottekstChar"/>
    <w:uiPriority w:val="99"/>
    <w:semiHidden/>
    <w:unhideWhenUsed/>
    <w:rsid w:val="00194900"/>
    <w:rPr>
      <w:sz w:val="20"/>
      <w:szCs w:val="20"/>
    </w:rPr>
  </w:style>
  <w:style w:type="character" w:customStyle="1" w:styleId="EindnoottekstChar">
    <w:name w:val="Eindnoottekst Char"/>
    <w:basedOn w:val="Standaardalinea-lettertype"/>
    <w:link w:val="Eindnoottekst"/>
    <w:uiPriority w:val="99"/>
    <w:semiHidden/>
    <w:rsid w:val="00194900"/>
    <w:rPr>
      <w:rFonts w:ascii="Calibri" w:hAnsi="Calibri" w:cs="Times New Roman"/>
      <w:sz w:val="20"/>
      <w:szCs w:val="20"/>
      <w:lang w:eastAsia="nl-BE"/>
    </w:rPr>
  </w:style>
  <w:style w:type="character" w:styleId="Eindnootmarkering">
    <w:name w:val="endnote reference"/>
    <w:basedOn w:val="Standaardalinea-lettertype"/>
    <w:uiPriority w:val="99"/>
    <w:semiHidden/>
    <w:unhideWhenUsed/>
    <w:rsid w:val="00194900"/>
    <w:rPr>
      <w:vertAlign w:val="superscript"/>
    </w:rPr>
  </w:style>
  <w:style w:type="paragraph" w:styleId="Plattetekst">
    <w:name w:val="Body Text"/>
    <w:basedOn w:val="Standaard"/>
    <w:link w:val="PlattetekstChar"/>
    <w:uiPriority w:val="99"/>
    <w:semiHidden/>
    <w:unhideWhenUsed/>
    <w:rsid w:val="00B85CCC"/>
    <w:pPr>
      <w:spacing w:after="120"/>
    </w:pPr>
    <w:rPr>
      <w:rFonts w:ascii="Times New Roman" w:hAnsi="Times New Roman"/>
      <w:sz w:val="24"/>
      <w:szCs w:val="24"/>
      <w:lang w:val="fr-BE" w:eastAsia="en-US"/>
    </w:rPr>
  </w:style>
  <w:style w:type="character" w:customStyle="1" w:styleId="PlattetekstChar">
    <w:name w:val="Platte tekst Char"/>
    <w:basedOn w:val="Standaardalinea-lettertype"/>
    <w:link w:val="Plattetekst"/>
    <w:uiPriority w:val="99"/>
    <w:semiHidden/>
    <w:rsid w:val="00B85CCC"/>
    <w:rPr>
      <w:rFonts w:ascii="Times New Roman" w:hAnsi="Times New Roman" w:cs="Times New Roman"/>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479671">
      <w:bodyDiv w:val="1"/>
      <w:marLeft w:val="0"/>
      <w:marRight w:val="0"/>
      <w:marTop w:val="0"/>
      <w:marBottom w:val="0"/>
      <w:divBdr>
        <w:top w:val="none" w:sz="0" w:space="0" w:color="auto"/>
        <w:left w:val="none" w:sz="0" w:space="0" w:color="auto"/>
        <w:bottom w:val="none" w:sz="0" w:space="0" w:color="auto"/>
        <w:right w:val="none" w:sz="0" w:space="0" w:color="auto"/>
      </w:divBdr>
    </w:div>
    <w:div w:id="1220822842">
      <w:bodyDiv w:val="1"/>
      <w:marLeft w:val="0"/>
      <w:marRight w:val="0"/>
      <w:marTop w:val="0"/>
      <w:marBottom w:val="0"/>
      <w:divBdr>
        <w:top w:val="none" w:sz="0" w:space="0" w:color="auto"/>
        <w:left w:val="none" w:sz="0" w:space="0" w:color="auto"/>
        <w:bottom w:val="none" w:sz="0" w:space="0" w:color="auto"/>
        <w:right w:val="none" w:sz="0" w:space="0" w:color="auto"/>
      </w:divBdr>
    </w:div>
    <w:div w:id="1367875273">
      <w:bodyDiv w:val="1"/>
      <w:marLeft w:val="0"/>
      <w:marRight w:val="0"/>
      <w:marTop w:val="0"/>
      <w:marBottom w:val="0"/>
      <w:divBdr>
        <w:top w:val="none" w:sz="0" w:space="0" w:color="auto"/>
        <w:left w:val="none" w:sz="0" w:space="0" w:color="auto"/>
        <w:bottom w:val="none" w:sz="0" w:space="0" w:color="auto"/>
        <w:right w:val="none" w:sz="0" w:space="0" w:color="auto"/>
      </w:divBdr>
    </w:div>
    <w:div w:id="1607418239">
      <w:bodyDiv w:val="1"/>
      <w:marLeft w:val="0"/>
      <w:marRight w:val="0"/>
      <w:marTop w:val="0"/>
      <w:marBottom w:val="0"/>
      <w:divBdr>
        <w:top w:val="none" w:sz="0" w:space="0" w:color="auto"/>
        <w:left w:val="none" w:sz="0" w:space="0" w:color="auto"/>
        <w:bottom w:val="none" w:sz="0" w:space="0" w:color="auto"/>
        <w:right w:val="none" w:sz="0" w:space="0" w:color="auto"/>
      </w:divBdr>
    </w:div>
    <w:div w:id="200601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gg-afmps.be/en/human_use/medicines/medicines/scientific_technical_advice/generalites/" TargetMode="External"/><Relationship Id="rId13" Type="http://schemas.openxmlformats.org/officeDocument/2006/relationships/hyperlink" Target="mailto:umn@afmps-fagg.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mhp.be/en/human_use/medicines/medicines/research_development/compassionate_use_medical_nee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mhp.be/sites/default/files/downloads/annex%20IV%20-%20summarized%20information%20for%20publication%20-EN-FR-NL-2015-04-27.doc" TargetMode="External"/><Relationship Id="rId5" Type="http://schemas.openxmlformats.org/officeDocument/2006/relationships/webSettings" Target="webSettings.xml"/><Relationship Id="rId15" Type="http://schemas.openxmlformats.org/officeDocument/2006/relationships/hyperlink" Target="https://www.ema.europa.eu/en/human-regulatory/research-development/pharmacovigilance/eudravigilance/eudravigilance-electronic-reporting" TargetMode="External"/><Relationship Id="rId10" Type="http://schemas.openxmlformats.org/officeDocument/2006/relationships/hyperlink" Target="https://www.famhp.be/en/human_use/medicines/medicines/research_development/compassionate_use_medical_ne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ami.fgov.be/nl/themas/kost-terugbetaling/door-ziekenfonds/geneesmiddel-gezondheidsproduct/terugbetalen/Paginas/unmet-medical-need.aspx" TargetMode="External"/><Relationship Id="rId14" Type="http://schemas.openxmlformats.org/officeDocument/2006/relationships/hyperlink" Target="https://www.afmps.be/sites/default/files/content/guidance_v1.13_0.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67FEC-9801-4ACD-A279-2A969760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2558</Words>
  <Characters>14069</Characters>
  <Application>Microsoft Office Word</Application>
  <DocSecurity>0</DocSecurity>
  <Lines>117</Lines>
  <Paragraphs>33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AFMPS-FAGG</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Hoker Joke</dc:creator>
  <cp:keywords/>
  <dc:description/>
  <cp:lastModifiedBy>Joke D Hoker (FAGG - AFMPS)</cp:lastModifiedBy>
  <cp:revision>3</cp:revision>
  <cp:lastPrinted>2019-02-18T13:05:00Z</cp:lastPrinted>
  <dcterms:created xsi:type="dcterms:W3CDTF">2021-10-25T09:23:00Z</dcterms:created>
  <dcterms:modified xsi:type="dcterms:W3CDTF">2021-10-25T09:24:00Z</dcterms:modified>
</cp:coreProperties>
</file>