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3950D3" w:rsidRDefault="0045140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3950D3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Pr="003950D3" w:rsidRDefault="00F25468" w:rsidP="00F25468">
            <w:pPr>
              <w:jc w:val="center"/>
              <w:rPr>
                <w:b/>
                <w:color w:val="000000" w:themeColor="text1"/>
                <w:sz w:val="20"/>
                <w:szCs w:val="20"/>
                <w:lang w:val="nl-BE"/>
              </w:rPr>
            </w:pPr>
          </w:p>
          <w:p w14:paraId="66B8B179" w14:textId="2D6E73FB" w:rsidR="00F25468" w:rsidRPr="003950D3" w:rsidRDefault="00F25468" w:rsidP="00A96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50D3">
              <w:rPr>
                <w:b/>
                <w:color w:val="000000" w:themeColor="text1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3950D3" w:rsidRDefault="00451401" w:rsidP="006415CA">
      <w:pPr>
        <w:rPr>
          <w:color w:val="000000" w:themeColor="text1"/>
          <w:sz w:val="20"/>
          <w:szCs w:val="20"/>
        </w:rPr>
      </w:pPr>
    </w:p>
    <w:p w14:paraId="225B5A4E" w14:textId="7BB8145A" w:rsidR="00451401" w:rsidRPr="003950D3" w:rsidRDefault="00F73BA1" w:rsidP="006344E8">
      <w:pPr>
        <w:pStyle w:val="Koptekst"/>
        <w:spacing w:before="240" w:after="24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950D3">
        <w:rPr>
          <w:rFonts w:ascii="Verdana" w:hAnsi="Verdana"/>
          <w:b/>
          <w:color w:val="000000" w:themeColor="text1"/>
          <w:sz w:val="20"/>
          <w:szCs w:val="20"/>
        </w:rPr>
        <w:t>CONCLUSION</w:t>
      </w:r>
      <w:r w:rsidR="00B639C9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 DE LA</w:t>
      </w:r>
      <w:r w:rsidR="00F925E5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9C9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PROCÉDURE ÉCRITE </w:t>
      </w:r>
      <w:r w:rsidR="00BE13D6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DU </w:t>
      </w:r>
      <w:r w:rsidR="009D5122" w:rsidRPr="003950D3">
        <w:rPr>
          <w:rFonts w:ascii="Verdana" w:hAnsi="Verdana"/>
          <w:b/>
          <w:color w:val="000000" w:themeColor="text1"/>
          <w:sz w:val="20"/>
          <w:szCs w:val="20"/>
        </w:rPr>
        <w:t>11.03</w:t>
      </w:r>
      <w:r w:rsidR="00687E69" w:rsidRPr="003950D3">
        <w:rPr>
          <w:rFonts w:ascii="Verdana" w:hAnsi="Verdana"/>
          <w:b/>
          <w:color w:val="000000" w:themeColor="text1"/>
          <w:sz w:val="20"/>
          <w:szCs w:val="20"/>
        </w:rPr>
        <w:t>.202</w:t>
      </w:r>
      <w:r w:rsidR="009D5122" w:rsidRPr="003950D3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F84DA1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176A7" w:rsidRPr="003950D3">
        <w:rPr>
          <w:rFonts w:ascii="Verdana" w:hAnsi="Verdana"/>
          <w:b/>
          <w:color w:val="000000" w:themeColor="text1"/>
          <w:sz w:val="20"/>
          <w:szCs w:val="20"/>
        </w:rPr>
        <w:t xml:space="preserve">au </w:t>
      </w:r>
      <w:r w:rsidR="009D5122" w:rsidRPr="003950D3">
        <w:rPr>
          <w:rFonts w:ascii="Verdana" w:hAnsi="Verdana"/>
          <w:b/>
          <w:color w:val="000000" w:themeColor="text1"/>
          <w:sz w:val="20"/>
          <w:szCs w:val="20"/>
        </w:rPr>
        <w:t>17.03.2021</w:t>
      </w:r>
    </w:p>
    <w:p w14:paraId="25A431C3" w14:textId="75F09B69" w:rsidR="00FE4E0D" w:rsidRPr="003950D3" w:rsidRDefault="00FE4E0D" w:rsidP="00D924B0">
      <w:pPr>
        <w:pStyle w:val="Kop1"/>
        <w:numPr>
          <w:ilvl w:val="0"/>
          <w:numId w:val="4"/>
        </w:numPr>
        <w:ind w:left="426" w:hanging="426"/>
        <w:rPr>
          <w:color w:val="000000" w:themeColor="text1"/>
          <w:lang w:val="nl-BE"/>
        </w:rPr>
      </w:pPr>
      <w:r w:rsidRPr="003950D3">
        <w:rPr>
          <w:color w:val="000000" w:themeColor="text1"/>
          <w:lang w:val="nl-BE"/>
        </w:rPr>
        <w:t>PROCÉDURE ÉCRITE</w:t>
      </w:r>
    </w:p>
    <w:p w14:paraId="07513B42" w14:textId="259F195A" w:rsidR="00174444" w:rsidRPr="003950D3" w:rsidRDefault="00735F5A" w:rsidP="00174444">
      <w:pPr>
        <w:rPr>
          <w:color w:val="000000" w:themeColor="text1"/>
          <w:lang w:eastAsia="fr-FR"/>
        </w:rPr>
      </w:pPr>
      <w:r w:rsidRPr="003950D3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5C71A1CE" w14:textId="478B9D82" w:rsidR="009D5122" w:rsidRPr="003950D3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color w:val="000000" w:themeColor="text1"/>
          <w:lang w:val="fr-BE"/>
        </w:rPr>
      </w:pPr>
      <w:r w:rsidRPr="003950D3">
        <w:rPr>
          <w:color w:val="000000" w:themeColor="text1"/>
          <w:lang w:val="fr-BE"/>
        </w:rPr>
        <w:t>APPROBATION DU PROCÈS-VERBAL (PV) DE LA RÉUNION DE LA COMMISSION DU 14.01.2021</w:t>
      </w:r>
    </w:p>
    <w:p w14:paraId="6389E4D4" w14:textId="248A09FF" w:rsidR="002D2077" w:rsidRPr="003950D3" w:rsidRDefault="002D2077" w:rsidP="001B7524">
      <w:pPr>
        <w:ind w:firstLine="425"/>
        <w:rPr>
          <w:color w:val="000000" w:themeColor="text1"/>
          <w:lang w:val="fr-FR" w:eastAsia="fr-FR"/>
        </w:rPr>
      </w:pPr>
      <w:r w:rsidRPr="003950D3">
        <w:rPr>
          <w:color w:val="000000" w:themeColor="text1"/>
          <w:lang w:val="fr-FR" w:eastAsia="fr-FR"/>
        </w:rPr>
        <w:t xml:space="preserve">Le PV de la réunion du </w:t>
      </w:r>
      <w:r w:rsidR="001B7524" w:rsidRPr="003950D3">
        <w:rPr>
          <w:color w:val="000000" w:themeColor="text1"/>
          <w:lang w:val="fr-FR" w:eastAsia="fr-FR"/>
        </w:rPr>
        <w:t>14.01.2021</w:t>
      </w:r>
      <w:r w:rsidRPr="003950D3">
        <w:rPr>
          <w:color w:val="000000" w:themeColor="text1"/>
          <w:lang w:val="fr-FR" w:eastAsia="fr-FR"/>
        </w:rPr>
        <w:t xml:space="preserve"> a été approuvé. </w:t>
      </w:r>
    </w:p>
    <w:p w14:paraId="1464F2B5" w14:textId="708E80EA" w:rsidR="009D5122" w:rsidRPr="003950D3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color w:val="000000" w:themeColor="text1"/>
        </w:rPr>
      </w:pPr>
      <w:r w:rsidRPr="003950D3">
        <w:rPr>
          <w:color w:val="000000" w:themeColor="text1"/>
        </w:rPr>
        <w:t>PHARMACOVIGILANCE</w:t>
      </w:r>
      <w:r w:rsidRPr="003950D3">
        <w:rPr>
          <w:color w:val="000000" w:themeColor="text1"/>
        </w:rPr>
        <w:br/>
      </w:r>
    </w:p>
    <w:p w14:paraId="7FBFD8BA" w14:textId="3C5FFB06" w:rsidR="009D5122" w:rsidRPr="003950D3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000000" w:themeColor="text1"/>
          <w:lang w:val="fr-FR"/>
        </w:rPr>
      </w:pPr>
      <w:r w:rsidRPr="003950D3">
        <w:rPr>
          <w:b/>
          <w:bCs/>
          <w:color w:val="000000" w:themeColor="text1"/>
          <w:lang w:val="fr-FR"/>
        </w:rPr>
        <w:t>Renouvellements quinquennaux, procédure nationale (PN)</w:t>
      </w:r>
      <w:r w:rsidRPr="003950D3">
        <w:rPr>
          <w:b/>
          <w:bCs/>
          <w:color w:val="000000" w:themeColor="text1"/>
          <w:lang w:val="fr-FR"/>
        </w:rPr>
        <w:br/>
      </w:r>
    </w:p>
    <w:p w14:paraId="7DEA42A4" w14:textId="77777777" w:rsidR="009D5122" w:rsidRPr="003950D3" w:rsidRDefault="009D5122" w:rsidP="009D5122">
      <w:pPr>
        <w:pStyle w:val="Default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Pour info.</w:t>
      </w:r>
    </w:p>
    <w:p w14:paraId="1F0B7D26" w14:textId="053F4475" w:rsidR="009D5122" w:rsidRPr="003950D3" w:rsidRDefault="009D5122" w:rsidP="009D5122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</w:p>
    <w:p w14:paraId="4CBE930C" w14:textId="77777777" w:rsidR="009D5122" w:rsidRPr="003950D3" w:rsidRDefault="009D5122" w:rsidP="009D5122">
      <w:pPr>
        <w:pStyle w:val="Default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Nouvelle version du RCP et de la notice pour le public des spécialités reprises ci-dessous :</w:t>
      </w:r>
    </w:p>
    <w:p w14:paraId="3FA01344" w14:textId="72AA81F1" w:rsidR="009D5122" w:rsidRPr="003950D3" w:rsidRDefault="009D5122" w:rsidP="009D5122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Un dossier est présenté.</w:t>
      </w:r>
    </w:p>
    <w:p w14:paraId="12887C08" w14:textId="26BCC866" w:rsidR="00F705F8" w:rsidRPr="003950D3" w:rsidRDefault="00F705F8" w:rsidP="00F705F8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br/>
        <w:t>Un dossier est présenté.</w:t>
      </w:r>
    </w:p>
    <w:p w14:paraId="56D2EAD0" w14:textId="77777777" w:rsidR="00F705F8" w:rsidRPr="003950D3" w:rsidRDefault="00F705F8" w:rsidP="00F705F8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émet un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avis favorable définitif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pour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1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dossier.</w:t>
      </w:r>
    </w:p>
    <w:p w14:paraId="1247DD62" w14:textId="77777777" w:rsidR="00F705F8" w:rsidRPr="003950D3" w:rsidRDefault="00F705F8" w:rsidP="009D5122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</w:p>
    <w:p w14:paraId="5009ACA3" w14:textId="433BA5BD" w:rsidR="005E799A" w:rsidRPr="003950D3" w:rsidRDefault="005E799A" w:rsidP="005E799A">
      <w:pPr>
        <w:pStyle w:val="Kop1"/>
        <w:keepNext w:val="0"/>
        <w:widowControl w:val="0"/>
        <w:numPr>
          <w:ilvl w:val="0"/>
          <w:numId w:val="37"/>
        </w:numPr>
        <w:rPr>
          <w:color w:val="000000" w:themeColor="text1"/>
          <w:lang w:val="fr-BE"/>
        </w:rPr>
      </w:pPr>
      <w:r w:rsidRPr="003950D3">
        <w:rPr>
          <w:color w:val="000000" w:themeColor="text1"/>
          <w:lang w:val="fr-BE"/>
        </w:rPr>
        <w:t>AUTORISATIONS DE MISE SUR LE MARCHE (AMM) – ENREGISTREMENTS (REG)</w:t>
      </w:r>
    </w:p>
    <w:p w14:paraId="1E30D257" w14:textId="18891A4B" w:rsidR="005E799A" w:rsidRPr="003950D3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</w:pPr>
      <w:r w:rsidRPr="003950D3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t>Demandes ENREGISTREMENT, procédure nationale (PN)</w:t>
      </w:r>
      <w:r w:rsidRPr="003950D3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br/>
      </w:r>
    </w:p>
    <w:p w14:paraId="52022760" w14:textId="266FC919" w:rsidR="005E799A" w:rsidRPr="003950D3" w:rsidRDefault="005E799A" w:rsidP="005E799A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Un dossier est présenté.</w:t>
      </w:r>
    </w:p>
    <w:p w14:paraId="4418ADCE" w14:textId="77777777" w:rsidR="00F705F8" w:rsidRPr="003950D3" w:rsidRDefault="00F705F8" w:rsidP="00F705F8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p w14:paraId="29829AC7" w14:textId="77777777" w:rsidR="00F705F8" w:rsidRPr="003950D3" w:rsidRDefault="00F705F8" w:rsidP="005E799A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</w:p>
    <w:p w14:paraId="1A50D31D" w14:textId="64BE04F2" w:rsidR="005E799A" w:rsidRPr="003950D3" w:rsidRDefault="005E799A" w:rsidP="005E799A">
      <w:pPr>
        <w:pStyle w:val="Default"/>
        <w:spacing w:after="200"/>
        <w:jc w:val="center"/>
        <w:rPr>
          <w:color w:val="000000" w:themeColor="text1"/>
        </w:rPr>
      </w:pPr>
    </w:p>
    <w:p w14:paraId="208F9355" w14:textId="42ADE534" w:rsidR="00F705F8" w:rsidRPr="003950D3" w:rsidRDefault="00F705F8" w:rsidP="003950D3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000000" w:themeColor="text1"/>
          <w:sz w:val="18"/>
          <w:szCs w:val="18"/>
          <w:lang w:val="nl-BE"/>
        </w:rPr>
      </w:pPr>
      <w:r w:rsidRPr="003950D3">
        <w:rPr>
          <w:rFonts w:ascii="Verdana" w:hAnsi="Verdana"/>
          <w:b/>
          <w:bCs/>
          <w:color w:val="000000" w:themeColor="text1"/>
          <w:sz w:val="18"/>
          <w:szCs w:val="18"/>
          <w:lang w:val="nl-BE"/>
        </w:rPr>
        <w:t>Demandes de modifications d’AMM/Enregistrement, procédure nationale (PN)</w:t>
      </w:r>
      <w:r w:rsidRPr="003950D3">
        <w:rPr>
          <w:rFonts w:ascii="Verdana" w:hAnsi="Verdana"/>
          <w:b/>
          <w:bCs/>
          <w:color w:val="000000" w:themeColor="text1"/>
          <w:sz w:val="18"/>
          <w:szCs w:val="18"/>
          <w:lang w:val="nl-BE"/>
        </w:rPr>
        <w:br/>
        <w:t>Aanvragen tot wijziging van de VHB/registratie, nationale procedure (NP)</w:t>
      </w:r>
    </w:p>
    <w:p w14:paraId="44AE9DE9" w14:textId="621CA183" w:rsidR="00F705F8" w:rsidRPr="003950D3" w:rsidRDefault="00F705F8" w:rsidP="003950D3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br/>
        <w:t>Un dossier est présenté.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br/>
      </w:r>
    </w:p>
    <w:p w14:paraId="262B9001" w14:textId="77777777" w:rsidR="00F705F8" w:rsidRPr="003950D3" w:rsidRDefault="00F705F8" w:rsidP="003950D3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émet un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avis favorable définitif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pour </w:t>
      </w:r>
      <w:r w:rsidRPr="003950D3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1</w:t>
      </w:r>
      <w:r w:rsidRPr="003950D3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dossier.</w:t>
      </w:r>
    </w:p>
    <w:p w14:paraId="68D09160" w14:textId="77777777" w:rsidR="00F705F8" w:rsidRPr="003950D3" w:rsidRDefault="00F705F8" w:rsidP="005E799A">
      <w:pPr>
        <w:pStyle w:val="Default"/>
        <w:spacing w:after="200"/>
        <w:jc w:val="center"/>
        <w:rPr>
          <w:color w:val="000000" w:themeColor="text1"/>
        </w:rPr>
      </w:pPr>
    </w:p>
    <w:p w14:paraId="57C341A8" w14:textId="608C1A31" w:rsidR="00252DEE" w:rsidRPr="003950D3" w:rsidRDefault="00252DEE" w:rsidP="009D5122">
      <w:pPr>
        <w:rPr>
          <w:color w:val="000000" w:themeColor="text1"/>
        </w:rPr>
      </w:pPr>
    </w:p>
    <w:sectPr w:rsidR="00252DEE" w:rsidRPr="003950D3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6528" w14:textId="77777777" w:rsidR="0095504D" w:rsidRDefault="009550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4E836784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9D5122">
      <w:rPr>
        <w:rFonts w:ascii="Verdana" w:hAnsi="Verdana"/>
        <w:color w:val="575757"/>
        <w:sz w:val="14"/>
        <w:szCs w:val="14"/>
        <w:lang w:val="nl-NL"/>
      </w:rPr>
      <w:t>11.03.2021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C4A0" w14:textId="77777777" w:rsidR="0095504D" w:rsidRDefault="009550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030F" w14:textId="77777777" w:rsidR="0095504D" w:rsidRDefault="009550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4C6FACD0" w14:textId="77777777" w:rsidR="0095504D" w:rsidRPr="005A324B" w:rsidRDefault="0095504D" w:rsidP="0095504D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3457DF4" w14:textId="77777777" w:rsidR="0095504D" w:rsidRPr="005A324B" w:rsidRDefault="0095504D" w:rsidP="0095504D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3950D3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B221011" w14:textId="77777777" w:rsidR="0095504D" w:rsidRPr="00FE7F43" w:rsidRDefault="0095504D" w:rsidP="0095504D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24CF2DED" w14:textId="77777777" w:rsidR="0095504D" w:rsidRPr="00FE7F43" w:rsidRDefault="0095504D" w:rsidP="0095504D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95504D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95504D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95504D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95504D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B7524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077"/>
    <w:rsid w:val="002D2347"/>
    <w:rsid w:val="002D5383"/>
    <w:rsid w:val="002D7F05"/>
    <w:rsid w:val="002E188E"/>
    <w:rsid w:val="002E1E0C"/>
    <w:rsid w:val="002F17EC"/>
    <w:rsid w:val="002F60D7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840C7"/>
    <w:rsid w:val="00392082"/>
    <w:rsid w:val="003950D3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2F0C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5504D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601C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24FE9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05F8"/>
    <w:rsid w:val="00F720BA"/>
    <w:rsid w:val="00F73BA1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385B-49A2-4E0A-8A11-911038E0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1453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7</cp:revision>
  <cp:lastPrinted>2014-01-30T09:57:00Z</cp:lastPrinted>
  <dcterms:created xsi:type="dcterms:W3CDTF">2021-06-11T10:52:00Z</dcterms:created>
  <dcterms:modified xsi:type="dcterms:W3CDTF">2021-12-02T18:39:00Z</dcterms:modified>
</cp:coreProperties>
</file>